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08"/>
        <w:gridCol w:w="2844"/>
      </w:tblGrid>
      <w:tr w:rsidR="00FB6F55">
        <w:trPr>
          <w:trHeight w:val="432"/>
        </w:trPr>
        <w:tc>
          <w:tcPr>
            <w:tcW w:w="10908" w:type="dxa"/>
            <w:vAlign w:val="center"/>
          </w:tcPr>
          <w:p w:rsidR="00FB6F55" w:rsidRDefault="00FB6F55" w:rsidP="00DC3057">
            <w:pPr>
              <w:rPr>
                <w:rFonts w:ascii="Arial" w:hAnsi="Arial" w:cs="Arial"/>
                <w:b/>
                <w:bCs/>
                <w:color w:val="111111"/>
              </w:rPr>
            </w:pPr>
            <w:r w:rsidRPr="00687F92">
              <w:rPr>
                <w:rFonts w:ascii="Arial" w:hAnsi="Arial" w:cs="Arial"/>
                <w:u w:val="single"/>
              </w:rPr>
              <w:t>Unit/Topic Title</w:t>
            </w:r>
            <w:r w:rsidRPr="00687F92">
              <w:rPr>
                <w:rFonts w:ascii="Arial" w:hAnsi="Arial" w:cs="Arial"/>
              </w:rPr>
              <w:t>:</w:t>
            </w:r>
            <w:r>
              <w:rPr>
                <w:rFonts w:ascii="Arial" w:hAnsi="Arial" w:cs="Arial"/>
                <w:b/>
              </w:rPr>
              <w:t xml:space="preserve">   </w:t>
            </w:r>
            <w:r w:rsidR="00DC3057">
              <w:rPr>
                <w:rFonts w:ascii="Arial" w:hAnsi="Arial" w:cs="Arial"/>
                <w:b/>
                <w:sz w:val="28"/>
                <w:szCs w:val="28"/>
              </w:rPr>
              <w:t>Aesthetic Valuation</w:t>
            </w:r>
            <w:r>
              <w:rPr>
                <w:rFonts w:ascii="Arial" w:hAnsi="Arial" w:cs="Arial"/>
                <w:b/>
                <w:sz w:val="28"/>
                <w:szCs w:val="28"/>
              </w:rPr>
              <w:t xml:space="preserve"> of Music</w:t>
            </w:r>
          </w:p>
        </w:tc>
        <w:tc>
          <w:tcPr>
            <w:tcW w:w="2844" w:type="dxa"/>
            <w:vAlign w:val="center"/>
          </w:tcPr>
          <w:p w:rsidR="00FB6F55" w:rsidRDefault="00FB6F55" w:rsidP="00C8180E">
            <w:pPr>
              <w:jc w:val="right"/>
              <w:rPr>
                <w:rFonts w:ascii="Arial" w:hAnsi="Arial" w:cs="Arial"/>
                <w:b/>
                <w:bCs/>
                <w:color w:val="111111"/>
              </w:rPr>
            </w:pPr>
            <w:r w:rsidRPr="00687F92">
              <w:rPr>
                <w:rFonts w:ascii="Arial" w:hAnsi="Arial" w:cs="Arial"/>
                <w:u w:val="single"/>
              </w:rPr>
              <w:t>Trimester/</w:t>
            </w:r>
            <w:r>
              <w:rPr>
                <w:rFonts w:ascii="Arial" w:hAnsi="Arial" w:cs="Arial"/>
                <w:u w:val="single"/>
              </w:rPr>
              <w:t>Semester</w:t>
            </w:r>
            <w:r w:rsidRPr="00687F92">
              <w:rPr>
                <w:rFonts w:ascii="Arial" w:hAnsi="Arial" w:cs="Arial"/>
              </w:rPr>
              <w:t>:</w:t>
            </w:r>
            <w:r>
              <w:rPr>
                <w:rFonts w:ascii="Arial" w:hAnsi="Arial" w:cs="Arial"/>
                <w:b/>
              </w:rPr>
              <w:t xml:space="preserve">  01</w:t>
            </w:r>
          </w:p>
        </w:tc>
      </w:tr>
      <w:tr w:rsidR="00FB6F55">
        <w:trPr>
          <w:trHeight w:val="432"/>
        </w:trPr>
        <w:tc>
          <w:tcPr>
            <w:tcW w:w="13752" w:type="dxa"/>
            <w:gridSpan w:val="2"/>
            <w:vAlign w:val="center"/>
          </w:tcPr>
          <w:p w:rsidR="00FB6F55" w:rsidRDefault="00FB6F55" w:rsidP="00C45658">
            <w:pPr>
              <w:rPr>
                <w:rFonts w:ascii="Arial" w:hAnsi="Arial" w:cs="Arial"/>
                <w:b/>
                <w:bCs/>
                <w:color w:val="111111"/>
              </w:rPr>
            </w:pPr>
            <w:r w:rsidRPr="00687F92">
              <w:rPr>
                <w:rFonts w:ascii="Arial" w:hAnsi="Arial" w:cs="Arial"/>
                <w:u w:val="single"/>
              </w:rPr>
              <w:t>Estimated Time (When)</w:t>
            </w:r>
            <w:r w:rsidRPr="00687F92">
              <w:rPr>
                <w:rFonts w:ascii="Arial" w:hAnsi="Arial" w:cs="Arial"/>
              </w:rPr>
              <w:t>:</w:t>
            </w:r>
            <w:r>
              <w:rPr>
                <w:rFonts w:ascii="Arial" w:hAnsi="Arial" w:cs="Arial"/>
                <w:b/>
              </w:rPr>
              <w:t xml:space="preserve">   Trimester 1 </w:t>
            </w:r>
          </w:p>
        </w:tc>
      </w:tr>
    </w:tbl>
    <w:p w:rsidR="00FB6F55" w:rsidRPr="00687F92" w:rsidRDefault="00FB6F55" w:rsidP="00FB6F55">
      <w:pPr>
        <w:rPr>
          <w:rFonts w:ascii="Arial" w:hAnsi="Arial" w:cs="Arial"/>
          <w:b/>
          <w:sz w:val="20"/>
          <w:szCs w:val="20"/>
        </w:r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FB6F55" w:rsidRPr="000B39CE">
        <w:trPr>
          <w:cantSplit/>
          <w:trHeight w:val="692"/>
          <w:jc w:val="center"/>
        </w:trPr>
        <w:tc>
          <w:tcPr>
            <w:tcW w:w="13860" w:type="dxa"/>
            <w:gridSpan w:val="2"/>
            <w:tcBorders>
              <w:top w:val="single" w:sz="4" w:space="0" w:color="auto"/>
              <w:left w:val="single" w:sz="4" w:space="0" w:color="auto"/>
              <w:bottom w:val="single" w:sz="4" w:space="0" w:color="auto"/>
              <w:right w:val="single" w:sz="4" w:space="0" w:color="auto"/>
            </w:tcBorders>
            <w:shd w:val="clear" w:color="auto" w:fill="FFFFFF"/>
          </w:tcPr>
          <w:p w:rsidR="00FB6F55" w:rsidRDefault="00FB6F55" w:rsidP="00C8180E">
            <w:pPr>
              <w:autoSpaceDE w:val="0"/>
              <w:autoSpaceDN w:val="0"/>
              <w:adjustRightInd w:val="0"/>
              <w:rPr>
                <w:rFonts w:ascii="Verdana" w:hAnsi="Verdana"/>
                <w:b/>
                <w:sz w:val="26"/>
                <w:szCs w:val="26"/>
              </w:rPr>
            </w:pPr>
            <w:r w:rsidRPr="000B39CE">
              <w:rPr>
                <w:rFonts w:ascii="Verdana" w:hAnsi="Verdana"/>
                <w:b/>
                <w:sz w:val="26"/>
                <w:szCs w:val="26"/>
              </w:rPr>
              <w:t>Standard</w:t>
            </w:r>
            <w:r>
              <w:rPr>
                <w:rFonts w:ascii="Verdana" w:hAnsi="Verdana"/>
                <w:b/>
                <w:sz w:val="26"/>
                <w:szCs w:val="26"/>
              </w:rPr>
              <w:t>(s)</w:t>
            </w:r>
          </w:p>
          <w:p w:rsidR="00FB6F55" w:rsidRPr="004771C0" w:rsidRDefault="00DC3057" w:rsidP="00DC3057">
            <w:pPr>
              <w:autoSpaceDE w:val="0"/>
              <w:autoSpaceDN w:val="0"/>
              <w:adjustRightInd w:val="0"/>
              <w:ind w:left="360"/>
              <w:rPr>
                <w:rFonts w:ascii="Verdana" w:hAnsi="Verdana" w:cs="Verdana"/>
              </w:rPr>
            </w:pPr>
            <w:r>
              <w:rPr>
                <w:rFonts w:ascii="Verdana" w:hAnsi="Verdana" w:cs="Verdana"/>
              </w:rPr>
              <w:t>4. Aesthetic Valuation of Music</w:t>
            </w:r>
          </w:p>
        </w:tc>
      </w:tr>
      <w:tr w:rsidR="00FB6F55" w:rsidRPr="00C45658">
        <w:trPr>
          <w:cantSplit/>
          <w:trHeight w:val="800"/>
          <w:tblHeader/>
          <w:jc w:val="center"/>
        </w:trPr>
        <w:tc>
          <w:tcPr>
            <w:tcW w:w="13860" w:type="dxa"/>
            <w:gridSpan w:val="2"/>
            <w:tcBorders>
              <w:top w:val="single" w:sz="4" w:space="0" w:color="auto"/>
            </w:tcBorders>
            <w:shd w:val="clear" w:color="auto" w:fill="FFFFFF"/>
          </w:tcPr>
          <w:p w:rsidR="00FB6F55" w:rsidRPr="000B39CE" w:rsidRDefault="00FB6F55" w:rsidP="00C8180E">
            <w:pPr>
              <w:rPr>
                <w:rFonts w:ascii="Verdana" w:hAnsi="Verdana"/>
                <w:b/>
              </w:rPr>
            </w:pPr>
            <w:r w:rsidRPr="000B39CE">
              <w:rPr>
                <w:rFonts w:ascii="Verdana" w:hAnsi="Verdana"/>
                <w:b/>
              </w:rPr>
              <w:t>Prepared Graduates:</w:t>
            </w:r>
          </w:p>
          <w:p w:rsidR="0050246F" w:rsidRPr="00F21BAF" w:rsidRDefault="0050246F" w:rsidP="0050246F">
            <w:pPr>
              <w:pStyle w:val="ListParagraph"/>
              <w:numPr>
                <w:ilvl w:val="0"/>
                <w:numId w:val="8"/>
              </w:numPr>
              <w:rPr>
                <w:rFonts w:ascii="Arial" w:eastAsiaTheme="minorHAnsi" w:hAnsi="Arial" w:cs="Arial"/>
                <w:sz w:val="26"/>
                <w:szCs w:val="26"/>
                <w:u w:color="0020E3"/>
              </w:rPr>
            </w:pPr>
            <w:r w:rsidRPr="00F21BAF">
              <w:rPr>
                <w:rFonts w:ascii="Arial" w:eastAsiaTheme="minorHAnsi" w:hAnsi="Arial" w:cs="Arial"/>
                <w:sz w:val="26"/>
                <w:szCs w:val="26"/>
                <w:u w:color="0020E3"/>
              </w:rPr>
              <w:t>Know the place of each of the participants in the performance environment and practice appropriate audience participation; recognize the place and importance of music in life</w:t>
            </w:r>
          </w:p>
          <w:p w:rsidR="0050246F" w:rsidRPr="00F21BAF" w:rsidRDefault="003B36EE" w:rsidP="0050246F">
            <w:pPr>
              <w:widowControl w:val="0"/>
              <w:numPr>
                <w:ilvl w:val="0"/>
                <w:numId w:val="4"/>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5" w:history="1">
              <w:r w:rsidR="0050246F" w:rsidRPr="00F21BAF">
                <w:rPr>
                  <w:rFonts w:ascii="Arial" w:eastAsiaTheme="minorHAnsi" w:hAnsi="Arial" w:cs="Arial"/>
                  <w:sz w:val="26"/>
                  <w:szCs w:val="26"/>
                  <w:lang w:eastAsia="en-US"/>
                </w:rPr>
                <w:t>Make informed, critical evaluations of the effectiveness of musical works and performances on the basis of aesthetic qualities, technical excellence, musicality, or convincing expression of feelings and ideas related to cultural and ideological associations</w:t>
              </w:r>
            </w:hyperlink>
          </w:p>
          <w:p w:rsidR="0050246F" w:rsidRPr="00EF0CAE" w:rsidRDefault="003B36EE" w:rsidP="0050246F">
            <w:pPr>
              <w:pStyle w:val="ListParagraph"/>
              <w:numPr>
                <w:ilvl w:val="0"/>
                <w:numId w:val="8"/>
              </w:numPr>
              <w:rPr>
                <w:rFonts w:ascii="Verdana" w:hAnsi="Verdana"/>
                <w:sz w:val="22"/>
                <w:szCs w:val="22"/>
              </w:rPr>
            </w:pPr>
            <w:hyperlink r:id="rId6" w:history="1">
              <w:r w:rsidR="0050246F" w:rsidRPr="00EF0CAE">
                <w:rPr>
                  <w:rFonts w:ascii="Arial" w:eastAsiaTheme="minorHAnsi" w:hAnsi="Arial" w:cs="Arial"/>
                  <w:sz w:val="26"/>
                  <w:szCs w:val="26"/>
                </w:rPr>
                <w:t>Develop a framework for making informed personal musical choices, and utilize that framework in the making and defending of musical choices</w:t>
              </w:r>
            </w:hyperlink>
          </w:p>
          <w:p w:rsidR="0050246F" w:rsidRDefault="003B36EE" w:rsidP="0050246F">
            <w:pPr>
              <w:widowControl w:val="0"/>
              <w:numPr>
                <w:ilvl w:val="0"/>
                <w:numId w:val="4"/>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7" w:history="1">
              <w:r w:rsidR="0050246F" w:rsidRPr="00EF0CAE">
                <w:rPr>
                  <w:rFonts w:ascii="Arial" w:eastAsiaTheme="minorHAnsi" w:hAnsi="Arial" w:cs="Arial"/>
                  <w:sz w:val="26"/>
                  <w:szCs w:val="26"/>
                  <w:lang w:eastAsia="en-US"/>
                </w:rPr>
                <w:t>Demonstrate a nuanced understanding of aesthetics in music, appropriate to the particular features of given styles and genres, as it relates to the human experience in music</w:t>
              </w:r>
            </w:hyperlink>
          </w:p>
          <w:p w:rsidR="00FB6F55" w:rsidRPr="0050246F" w:rsidRDefault="003B36EE" w:rsidP="0050246F">
            <w:pPr>
              <w:widowControl w:val="0"/>
              <w:numPr>
                <w:ilvl w:val="0"/>
                <w:numId w:val="4"/>
              </w:numPr>
              <w:tabs>
                <w:tab w:val="left" w:pos="220"/>
                <w:tab w:val="left" w:pos="720"/>
              </w:tabs>
              <w:autoSpaceDE w:val="0"/>
              <w:autoSpaceDN w:val="0"/>
              <w:adjustRightInd w:val="0"/>
              <w:ind w:left="1080"/>
              <w:rPr>
                <w:rFonts w:ascii="Arial" w:eastAsiaTheme="minorHAnsi" w:hAnsi="Arial" w:cs="Arial"/>
                <w:sz w:val="26"/>
                <w:szCs w:val="26"/>
                <w:lang w:eastAsia="en-US"/>
              </w:rPr>
            </w:pPr>
            <w:hyperlink r:id="rId8" w:history="1">
              <w:r w:rsidR="0050246F" w:rsidRPr="0050246F">
                <w:rPr>
                  <w:rFonts w:ascii="Arial" w:eastAsiaTheme="minorHAnsi" w:hAnsi="Arial" w:cs="Arial"/>
                  <w:sz w:val="26"/>
                  <w:szCs w:val="26"/>
                </w:rPr>
                <w:t>Know the place of each of the participants in the performance environment and practice appropriate audience participation; recognize the place and importance of music in life</w:t>
              </w:r>
            </w:hyperlink>
          </w:p>
        </w:tc>
      </w:tr>
      <w:tr w:rsidR="00FB6F55" w:rsidRPr="000B39CE">
        <w:trPr>
          <w:cantSplit/>
          <w:trHeight w:val="104"/>
          <w:tblHeader/>
          <w:jc w:val="center"/>
        </w:trPr>
        <w:tc>
          <w:tcPr>
            <w:tcW w:w="13860" w:type="dxa"/>
            <w:gridSpan w:val="2"/>
            <w:shd w:val="solid" w:color="auto" w:fill="auto"/>
          </w:tcPr>
          <w:p w:rsidR="00FB6F55" w:rsidRPr="000B39CE" w:rsidRDefault="00FB6F55" w:rsidP="00C8180E">
            <w:pPr>
              <w:rPr>
                <w:rFonts w:ascii="Verdana" w:hAnsi="Verdana"/>
                <w:sz w:val="2"/>
                <w:szCs w:val="2"/>
              </w:rPr>
            </w:pPr>
          </w:p>
        </w:tc>
      </w:tr>
      <w:tr w:rsidR="00FB6F55" w:rsidRPr="0091035E">
        <w:trPr>
          <w:cantSplit/>
          <w:tblHeader/>
          <w:jc w:val="center"/>
        </w:trPr>
        <w:tc>
          <w:tcPr>
            <w:tcW w:w="13860" w:type="dxa"/>
            <w:gridSpan w:val="2"/>
          </w:tcPr>
          <w:p w:rsidR="00FB6F55" w:rsidRPr="0091035E" w:rsidRDefault="00FB6F55" w:rsidP="00C45658">
            <w:pPr>
              <w:rPr>
                <w:rFonts w:ascii="Verdana" w:hAnsi="Verdana"/>
                <w:b/>
                <w:bCs/>
                <w:sz w:val="28"/>
                <w:szCs w:val="28"/>
              </w:rPr>
            </w:pPr>
            <w:r w:rsidRPr="0091035E">
              <w:rPr>
                <w:rFonts w:ascii="Verdana" w:hAnsi="Verdana"/>
                <w:b/>
                <w:bCs/>
                <w:sz w:val="28"/>
                <w:szCs w:val="28"/>
              </w:rPr>
              <w:t xml:space="preserve">Grade </w:t>
            </w:r>
            <w:r>
              <w:rPr>
                <w:rFonts w:ascii="Verdana" w:hAnsi="Verdana"/>
                <w:b/>
                <w:bCs/>
                <w:sz w:val="28"/>
                <w:szCs w:val="28"/>
              </w:rPr>
              <w:t>Level Expectation: First Grade</w:t>
            </w:r>
          </w:p>
        </w:tc>
      </w:tr>
      <w:tr w:rsidR="00FB6F55" w:rsidRPr="000B39CE">
        <w:trPr>
          <w:cantSplit/>
          <w:tblHeader/>
          <w:jc w:val="center"/>
        </w:trPr>
        <w:tc>
          <w:tcPr>
            <w:tcW w:w="13860" w:type="dxa"/>
            <w:gridSpan w:val="2"/>
            <w:tcBorders>
              <w:bottom w:val="nil"/>
            </w:tcBorders>
            <w:shd w:val="clear" w:color="auto" w:fill="A6A6A6"/>
          </w:tcPr>
          <w:p w:rsidR="00FB6F55" w:rsidRPr="000B39CE" w:rsidRDefault="00FB6F55" w:rsidP="00C8180E">
            <w:pPr>
              <w:rPr>
                <w:rFonts w:ascii="Verdana" w:hAnsi="Verdana"/>
                <w:b/>
              </w:rPr>
            </w:pPr>
            <w:r w:rsidRPr="000B39CE">
              <w:rPr>
                <w:rFonts w:ascii="Verdana" w:hAnsi="Verdana"/>
                <w:b/>
              </w:rPr>
              <w:t>Concepts and skills students master:</w:t>
            </w:r>
          </w:p>
        </w:tc>
      </w:tr>
      <w:tr w:rsidR="00FB6F55" w:rsidRPr="000B39CE">
        <w:trPr>
          <w:cantSplit/>
          <w:jc w:val="center"/>
        </w:trPr>
        <w:tc>
          <w:tcPr>
            <w:tcW w:w="13860" w:type="dxa"/>
            <w:gridSpan w:val="2"/>
            <w:tcBorders>
              <w:top w:val="nil"/>
            </w:tcBorders>
            <w:shd w:val="clear" w:color="auto" w:fill="A6A6A6"/>
          </w:tcPr>
          <w:p w:rsidR="0050246F" w:rsidRPr="0050246F" w:rsidRDefault="0050246F" w:rsidP="0050246F">
            <w:pPr>
              <w:pStyle w:val="ListParagraph"/>
              <w:numPr>
                <w:ilvl w:val="0"/>
                <w:numId w:val="7"/>
              </w:numPr>
              <w:autoSpaceDE w:val="0"/>
              <w:autoSpaceDN w:val="0"/>
              <w:adjustRightInd w:val="0"/>
              <w:rPr>
                <w:rFonts w:ascii="Arial" w:eastAsiaTheme="minorHAnsi" w:hAnsi="Arial" w:cs="Arial"/>
                <w:sz w:val="26"/>
                <w:szCs w:val="26"/>
              </w:rPr>
            </w:pPr>
            <w:r w:rsidRPr="0050246F">
              <w:rPr>
                <w:rFonts w:ascii="Arial" w:eastAsiaTheme="minorHAnsi" w:hAnsi="Arial" w:cs="Arial"/>
                <w:sz w:val="26"/>
                <w:szCs w:val="26"/>
              </w:rPr>
              <w:t>Demonstrate respect for the contributions of self and others in a musical setting</w:t>
            </w:r>
          </w:p>
          <w:p w:rsidR="0050246F" w:rsidRPr="0050246F" w:rsidRDefault="0050246F" w:rsidP="0050246F">
            <w:pPr>
              <w:pStyle w:val="ListParagraph"/>
              <w:numPr>
                <w:ilvl w:val="0"/>
                <w:numId w:val="7"/>
              </w:numPr>
              <w:autoSpaceDE w:val="0"/>
              <w:autoSpaceDN w:val="0"/>
              <w:adjustRightInd w:val="0"/>
              <w:rPr>
                <w:rFonts w:ascii="Verdana" w:hAnsi="Verdana" w:cs="Tahoma"/>
                <w:sz w:val="22"/>
                <w:szCs w:val="22"/>
              </w:rPr>
            </w:pPr>
            <w:r w:rsidRPr="0050246F">
              <w:rPr>
                <w:rFonts w:ascii="Arial" w:eastAsiaTheme="minorHAnsi" w:hAnsi="Arial" w:cs="Arial"/>
                <w:sz w:val="26"/>
                <w:szCs w:val="26"/>
              </w:rPr>
              <w:t>Comprehension of the basic components of music and musical performances at a beginning level</w:t>
            </w:r>
          </w:p>
          <w:p w:rsidR="00FB6F55" w:rsidRPr="0050246F" w:rsidRDefault="0050246F" w:rsidP="0050246F">
            <w:pPr>
              <w:pStyle w:val="ListParagraph"/>
              <w:numPr>
                <w:ilvl w:val="0"/>
                <w:numId w:val="7"/>
              </w:numPr>
              <w:autoSpaceDE w:val="0"/>
              <w:autoSpaceDN w:val="0"/>
              <w:adjustRightInd w:val="0"/>
              <w:rPr>
                <w:rFonts w:ascii="Verdana" w:hAnsi="Verdana" w:cs="Tahoma"/>
                <w:sz w:val="22"/>
                <w:szCs w:val="22"/>
              </w:rPr>
            </w:pPr>
            <w:r w:rsidRPr="0050246F">
              <w:rPr>
                <w:rFonts w:ascii="Arial" w:eastAsiaTheme="minorHAnsi" w:hAnsi="Arial" w:cs="Arial"/>
                <w:sz w:val="26"/>
                <w:szCs w:val="26"/>
              </w:rPr>
              <w:t>Identify music as an integral part of everyday life</w:t>
            </w:r>
          </w:p>
        </w:tc>
      </w:tr>
      <w:tr w:rsidR="00FB6F55" w:rsidRPr="000B39CE">
        <w:trPr>
          <w:cantSplit/>
          <w:jc w:val="center"/>
        </w:trPr>
        <w:tc>
          <w:tcPr>
            <w:tcW w:w="4860" w:type="dxa"/>
            <w:tcBorders>
              <w:bottom w:val="single" w:sz="4" w:space="0" w:color="000000"/>
            </w:tcBorders>
            <w:shd w:val="pct15" w:color="auto" w:fill="auto"/>
          </w:tcPr>
          <w:p w:rsidR="00FB6F55" w:rsidRPr="000B39CE" w:rsidRDefault="00FB6F55" w:rsidP="00C8180E">
            <w:pPr>
              <w:rPr>
                <w:rFonts w:ascii="Verdana" w:hAnsi="Verdana"/>
              </w:rPr>
            </w:pPr>
            <w:r w:rsidRPr="000B39CE">
              <w:rPr>
                <w:rFonts w:ascii="Verdana" w:hAnsi="Verdana"/>
                <w:b/>
              </w:rPr>
              <w:t>Evidence Outcomes</w:t>
            </w:r>
          </w:p>
        </w:tc>
        <w:tc>
          <w:tcPr>
            <w:tcW w:w="9000" w:type="dxa"/>
            <w:tcBorders>
              <w:bottom w:val="single" w:sz="4" w:space="0" w:color="000000"/>
            </w:tcBorders>
            <w:shd w:val="pct15" w:color="auto" w:fill="auto"/>
          </w:tcPr>
          <w:p w:rsidR="00FB6F55" w:rsidRPr="000B39CE" w:rsidRDefault="00FB6F55" w:rsidP="00C8180E">
            <w:pPr>
              <w:rPr>
                <w:rFonts w:ascii="Verdana" w:hAnsi="Verdana"/>
                <w:b/>
              </w:rPr>
            </w:pPr>
            <w:r w:rsidRPr="000B39CE">
              <w:rPr>
                <w:rFonts w:ascii="Verdana" w:hAnsi="Verdana"/>
                <w:b/>
              </w:rPr>
              <w:t>21</w:t>
            </w:r>
            <w:r w:rsidRPr="000B39CE">
              <w:rPr>
                <w:rFonts w:ascii="Verdana" w:hAnsi="Verdana"/>
                <w:b/>
                <w:vertAlign w:val="superscript"/>
              </w:rPr>
              <w:t>st</w:t>
            </w:r>
            <w:r w:rsidRPr="000B39CE">
              <w:rPr>
                <w:rFonts w:ascii="Verdana" w:hAnsi="Verdana"/>
                <w:b/>
              </w:rPr>
              <w:t xml:space="preserve"> Century Skills and Readiness Competencies</w:t>
            </w:r>
          </w:p>
        </w:tc>
      </w:tr>
      <w:tr w:rsidR="00FB6F55" w:rsidRPr="000B39CE">
        <w:trPr>
          <w:cantSplit/>
          <w:jc w:val="center"/>
        </w:trPr>
        <w:tc>
          <w:tcPr>
            <w:tcW w:w="4860" w:type="dxa"/>
            <w:vMerge w:val="restart"/>
            <w:shd w:val="clear" w:color="auto" w:fill="auto"/>
          </w:tcPr>
          <w:p w:rsidR="00FB6F55" w:rsidRPr="000B39CE" w:rsidRDefault="00FB6F55" w:rsidP="00A5260C">
            <w:pPr>
              <w:rPr>
                <w:rFonts w:ascii="Verdana" w:hAnsi="Verdana"/>
                <w:b/>
                <w:sz w:val="20"/>
                <w:szCs w:val="20"/>
              </w:rPr>
            </w:pPr>
            <w:r w:rsidRPr="000B39CE">
              <w:rPr>
                <w:rFonts w:ascii="Verdana" w:hAnsi="Verdana"/>
                <w:b/>
                <w:sz w:val="20"/>
                <w:szCs w:val="20"/>
              </w:rPr>
              <w:t>Students can:</w:t>
            </w:r>
          </w:p>
          <w:p w:rsidR="00FB6F55" w:rsidRPr="000B39CE" w:rsidRDefault="00FB6F55" w:rsidP="00A5260C">
            <w:pPr>
              <w:autoSpaceDE w:val="0"/>
              <w:autoSpaceDN w:val="0"/>
              <w:adjustRightInd w:val="0"/>
              <w:rPr>
                <w:rFonts w:ascii="Verdana" w:hAnsi="Verdana" w:cs="Verdana"/>
                <w:sz w:val="10"/>
                <w:szCs w:val="10"/>
              </w:rPr>
            </w:pPr>
          </w:p>
          <w:p w:rsidR="00DB60A2" w:rsidRDefault="00DB60A2" w:rsidP="00DB60A2">
            <w:pPr>
              <w:widowControl w:val="0"/>
              <w:tabs>
                <w:tab w:val="left" w:pos="220"/>
                <w:tab w:val="left" w:pos="720"/>
              </w:tabs>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1.4.1.a: Participate appropriately in music activities that involve sharing, taking turns, and listening respectfully to the ideas of others</w:t>
            </w:r>
            <w:r>
              <w:rPr>
                <w:rFonts w:ascii="Arial" w:eastAsiaTheme="minorHAnsi" w:hAnsi="Arial" w:cs="Arial"/>
                <w:sz w:val="22"/>
                <w:szCs w:val="22"/>
                <w:lang w:eastAsia="en-US"/>
              </w:rPr>
              <w:t> </w:t>
            </w:r>
          </w:p>
          <w:p w:rsidR="00DB60A2" w:rsidRDefault="00DB60A2" w:rsidP="00DB60A2">
            <w:pPr>
              <w:widowControl w:val="0"/>
              <w:tabs>
                <w:tab w:val="left" w:pos="220"/>
                <w:tab w:val="left" w:pos="720"/>
              </w:tabs>
              <w:autoSpaceDE w:val="0"/>
              <w:autoSpaceDN w:val="0"/>
              <w:adjustRightInd w:val="0"/>
              <w:rPr>
                <w:rFonts w:ascii="Arial" w:eastAsiaTheme="minorHAnsi" w:hAnsi="Arial" w:cs="Arial"/>
                <w:sz w:val="26"/>
                <w:szCs w:val="26"/>
                <w:lang w:eastAsia="en-US"/>
              </w:rPr>
            </w:pPr>
            <w:r>
              <w:rPr>
                <w:rFonts w:ascii="Arial" w:eastAsiaTheme="minorHAnsi" w:hAnsi="Arial" w:cs="Arial"/>
                <w:sz w:val="26"/>
                <w:szCs w:val="26"/>
                <w:lang w:eastAsia="en-US"/>
              </w:rPr>
              <w:t>1.4.1.b: Reflect on the performance of others</w:t>
            </w:r>
            <w:r>
              <w:rPr>
                <w:rFonts w:ascii="Arial" w:eastAsiaTheme="minorHAnsi" w:hAnsi="Arial" w:cs="Arial"/>
                <w:sz w:val="22"/>
                <w:szCs w:val="22"/>
                <w:lang w:eastAsia="en-US"/>
              </w:rPr>
              <w:t> </w:t>
            </w:r>
          </w:p>
          <w:p w:rsidR="00DB60A2" w:rsidRDefault="00DB60A2" w:rsidP="00DB60A2">
            <w:pPr>
              <w:rPr>
                <w:rFonts w:ascii="Arial" w:eastAsiaTheme="minorHAnsi" w:hAnsi="Arial" w:cs="Arial"/>
                <w:sz w:val="26"/>
                <w:szCs w:val="26"/>
                <w:lang w:eastAsia="en-US"/>
              </w:rPr>
            </w:pPr>
            <w:r>
              <w:rPr>
                <w:rFonts w:ascii="Arial" w:eastAsiaTheme="minorHAnsi" w:hAnsi="Arial" w:cs="Arial"/>
                <w:sz w:val="26"/>
                <w:szCs w:val="26"/>
                <w:lang w:eastAsia="en-US"/>
              </w:rPr>
              <w:t>1.4.1.c:Demonstrate audience behavior appropriate for the context and style of music performed</w:t>
            </w:r>
          </w:p>
          <w:p w:rsidR="00C07BB7" w:rsidRDefault="00DB60A2" w:rsidP="00DB60A2">
            <w:pPr>
              <w:rPr>
                <w:rFonts w:ascii="Arial" w:eastAsiaTheme="minorHAnsi" w:hAnsi="Arial" w:cs="Arial"/>
                <w:sz w:val="22"/>
                <w:szCs w:val="22"/>
                <w:lang w:eastAsia="en-US"/>
              </w:rPr>
            </w:pPr>
            <w:r>
              <w:rPr>
                <w:rFonts w:ascii="Arial" w:eastAsiaTheme="minorHAnsi" w:hAnsi="Arial" w:cs="Arial"/>
                <w:sz w:val="26"/>
                <w:szCs w:val="26"/>
                <w:lang w:eastAsia="en-US"/>
              </w:rPr>
              <w:t>1.4.2.a: Create movements to music that reflect focused listening</w:t>
            </w:r>
            <w:r>
              <w:rPr>
                <w:rFonts w:ascii="Arial" w:eastAsiaTheme="minorHAnsi" w:hAnsi="Arial" w:cs="Arial"/>
                <w:sz w:val="22"/>
                <w:szCs w:val="22"/>
                <w:lang w:eastAsia="en-US"/>
              </w:rPr>
              <w:t> </w:t>
            </w:r>
          </w:p>
          <w:p w:rsidR="00FB6F55" w:rsidRPr="00DB60A2" w:rsidRDefault="00FB6F55" w:rsidP="00DB60A2">
            <w:pPr>
              <w:rPr>
                <w:rFonts w:ascii="Arial" w:eastAsiaTheme="minorHAnsi" w:hAnsi="Arial" w:cs="Arial"/>
                <w:sz w:val="22"/>
                <w:szCs w:val="22"/>
                <w:lang w:eastAsia="en-US"/>
              </w:rPr>
            </w:pPr>
          </w:p>
        </w:tc>
        <w:tc>
          <w:tcPr>
            <w:tcW w:w="9000" w:type="dxa"/>
            <w:shd w:val="clear" w:color="auto" w:fill="auto"/>
          </w:tcPr>
          <w:p w:rsidR="00FB6F55" w:rsidRPr="000B39CE" w:rsidRDefault="00FB6F55" w:rsidP="00A5260C">
            <w:pPr>
              <w:rPr>
                <w:rFonts w:ascii="Verdana" w:hAnsi="Verdana" w:cs="Arial"/>
                <w:sz w:val="20"/>
                <w:szCs w:val="20"/>
              </w:rPr>
            </w:pPr>
            <w:r w:rsidRPr="000B39CE">
              <w:rPr>
                <w:rFonts w:ascii="Verdana" w:hAnsi="Verdana" w:cs="Arial"/>
                <w:b/>
                <w:sz w:val="20"/>
                <w:szCs w:val="20"/>
              </w:rPr>
              <w:t>Inquiry Questions:</w:t>
            </w:r>
            <w:r w:rsidRPr="000B39CE">
              <w:rPr>
                <w:rFonts w:ascii="Verdana" w:hAnsi="Verdana" w:cs="Arial"/>
                <w:sz w:val="20"/>
                <w:szCs w:val="20"/>
              </w:rPr>
              <w:t xml:space="preserve"> </w:t>
            </w:r>
          </w:p>
          <w:p w:rsidR="00FB6F55" w:rsidRPr="000B39CE" w:rsidRDefault="00FB6F55" w:rsidP="00A5260C">
            <w:pPr>
              <w:autoSpaceDE w:val="0"/>
              <w:autoSpaceDN w:val="0"/>
              <w:adjustRightInd w:val="0"/>
              <w:rPr>
                <w:rFonts w:ascii="Verdana" w:hAnsi="Verdana" w:cs="Verdana"/>
                <w:sz w:val="10"/>
                <w:szCs w:val="10"/>
              </w:rPr>
            </w:pP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When is it appropriate or not appropriate to talk during a musical performance?</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Why is it important to listen respectfully to live performances?</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an individual contribute to effective music-making?</w:t>
            </w:r>
          </w:p>
          <w:p w:rsidR="0050246F" w:rsidRPr="00F21BAF" w:rsidRDefault="0050246F" w:rsidP="0050246F">
            <w:pPr>
              <w:pStyle w:val="ListParagraph"/>
              <w:numPr>
                <w:ilvl w:val="0"/>
                <w:numId w:val="4"/>
              </w:numPr>
              <w:ind w:hanging="576"/>
              <w:rPr>
                <w:rFonts w:ascii="Verdana" w:hAnsi="Verdana"/>
                <w:b/>
                <w:sz w:val="16"/>
                <w:szCs w:val="16"/>
              </w:rPr>
            </w:pPr>
            <w:r>
              <w:rPr>
                <w:rFonts w:ascii="Arial" w:eastAsiaTheme="minorHAnsi" w:hAnsi="Arial" w:cs="Arial"/>
                <w:sz w:val="26"/>
                <w:szCs w:val="26"/>
              </w:rPr>
              <w:t>Why are the contributions of others important to music-making in group settings?</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can certain movements be more appropriate for one type of music than another?</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are some specific elements of music that can change the feelings that are communicated?</w:t>
            </w:r>
          </w:p>
          <w:p w:rsidR="0050246F" w:rsidRPr="00F21BAF" w:rsidRDefault="0050246F" w:rsidP="0050246F">
            <w:pPr>
              <w:pStyle w:val="ListParagraph"/>
              <w:numPr>
                <w:ilvl w:val="0"/>
                <w:numId w:val="4"/>
              </w:numPr>
              <w:ind w:hanging="576"/>
              <w:rPr>
                <w:rFonts w:ascii="Verdana" w:hAnsi="Verdana"/>
                <w:b/>
                <w:sz w:val="16"/>
                <w:szCs w:val="16"/>
              </w:rPr>
            </w:pPr>
            <w:r>
              <w:rPr>
                <w:rFonts w:ascii="Arial" w:eastAsiaTheme="minorHAnsi" w:hAnsi="Arial" w:cs="Arial"/>
                <w:sz w:val="26"/>
                <w:szCs w:val="26"/>
              </w:rPr>
              <w:t>How do the basic elements of music communicate thoughts or emotions?</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How does music that is composed for various purposes contribute to a specific experience?</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What causes various instruments and voices to sound different from each other?</w:t>
            </w:r>
          </w:p>
          <w:p w:rsidR="00FB6F55" w:rsidRPr="00AB5E06" w:rsidRDefault="0050246F" w:rsidP="0050246F">
            <w:pPr>
              <w:pStyle w:val="ListParagraph"/>
              <w:numPr>
                <w:ilvl w:val="0"/>
                <w:numId w:val="4"/>
              </w:numPr>
              <w:ind w:hanging="720"/>
              <w:rPr>
                <w:rFonts w:ascii="Verdana" w:hAnsi="Verdana"/>
                <w:b/>
                <w:sz w:val="16"/>
                <w:szCs w:val="16"/>
              </w:rPr>
            </w:pPr>
            <w:r>
              <w:rPr>
                <w:rFonts w:ascii="Arial" w:eastAsiaTheme="minorHAnsi" w:hAnsi="Arial" w:cs="Arial"/>
                <w:sz w:val="26"/>
                <w:szCs w:val="26"/>
              </w:rPr>
              <w:t>How does movement to music differ from one culture to another?</w:t>
            </w:r>
          </w:p>
        </w:tc>
      </w:tr>
      <w:tr w:rsidR="00FB6F55" w:rsidRPr="000B39CE">
        <w:trPr>
          <w:cantSplit/>
          <w:jc w:val="center"/>
        </w:trPr>
        <w:tc>
          <w:tcPr>
            <w:tcW w:w="4860" w:type="dxa"/>
            <w:vMerge/>
            <w:shd w:val="clear" w:color="auto" w:fill="auto"/>
          </w:tcPr>
          <w:p w:rsidR="00FB6F55" w:rsidRPr="000B39CE" w:rsidRDefault="00FB6F55" w:rsidP="00C8180E">
            <w:pPr>
              <w:rPr>
                <w:rFonts w:ascii="Verdana" w:hAnsi="Verdana"/>
                <w:b/>
              </w:rPr>
            </w:pPr>
          </w:p>
        </w:tc>
        <w:tc>
          <w:tcPr>
            <w:tcW w:w="9000" w:type="dxa"/>
            <w:shd w:val="clear" w:color="auto" w:fill="auto"/>
          </w:tcPr>
          <w:p w:rsidR="00FB6F55" w:rsidRPr="000B39CE" w:rsidRDefault="00FB6F55" w:rsidP="00A5260C">
            <w:pPr>
              <w:rPr>
                <w:rFonts w:ascii="Verdana" w:hAnsi="Verdana" w:cs="Arial"/>
                <w:b/>
                <w:sz w:val="20"/>
                <w:szCs w:val="20"/>
              </w:rPr>
            </w:pPr>
            <w:r w:rsidRPr="000B39CE">
              <w:rPr>
                <w:rFonts w:ascii="Verdana" w:hAnsi="Verdana" w:cs="Arial"/>
                <w:b/>
                <w:sz w:val="20"/>
                <w:szCs w:val="20"/>
              </w:rPr>
              <w:t>Relevance and Application:</w:t>
            </w:r>
          </w:p>
          <w:p w:rsidR="00FB6F55" w:rsidRPr="000B39CE" w:rsidRDefault="00FB6F55" w:rsidP="00A5260C">
            <w:pPr>
              <w:autoSpaceDE w:val="0"/>
              <w:autoSpaceDN w:val="0"/>
              <w:adjustRightInd w:val="0"/>
              <w:rPr>
                <w:rFonts w:ascii="Verdana" w:hAnsi="Verdana" w:cs="Verdana"/>
                <w:sz w:val="10"/>
                <w:szCs w:val="10"/>
              </w:rPr>
            </w:pP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situations when music is the focus of attention and contrasting with those when music is a secondary element help to identify the various ways music is used.</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Discussing nonmusical settings (such as athletic events, speeches, dance performances, theatre) where audiences behave similarly or differently than musical settings provides understanding about the varying purposes of audiences in society.</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Considering how the use of various instruments and/or voices changes the feelings that music conveys provides a fundamental understanding of how music communicates.</w:t>
            </w:r>
          </w:p>
          <w:p w:rsidR="0050246F" w:rsidRPr="00F21BAF" w:rsidRDefault="0050246F" w:rsidP="0050246F">
            <w:pPr>
              <w:pStyle w:val="ListParagraph"/>
              <w:numPr>
                <w:ilvl w:val="0"/>
                <w:numId w:val="5"/>
              </w:numPr>
              <w:ind w:hanging="576"/>
              <w:rPr>
                <w:rFonts w:ascii="Verdana" w:hAnsi="Verdana"/>
                <w:b/>
                <w:sz w:val="16"/>
                <w:szCs w:val="16"/>
              </w:rPr>
            </w:pPr>
            <w:r>
              <w:rPr>
                <w:rFonts w:ascii="Arial" w:eastAsiaTheme="minorHAnsi" w:hAnsi="Arial" w:cs="Arial"/>
                <w:sz w:val="26"/>
                <w:szCs w:val="26"/>
              </w:rPr>
              <w:t>Ideas and moods expressed through music are conveyed in other areas of the arts (books, movies, theatre, dance performances, commercials).</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Observing and imitating movement to a variety of musical styles including cultural and historical excerpts provide an understanding of the variety of ways people can express themselves through music and movement.</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Using pictures and books to recognize various instruments used in different types of music develops an initial ability to identify the various shapes and sizes of instruments.</w:t>
            </w:r>
          </w:p>
          <w:p w:rsidR="00FB6F55" w:rsidRPr="007A06E8" w:rsidRDefault="0050246F" w:rsidP="0050246F">
            <w:pPr>
              <w:pStyle w:val="ListParagraph"/>
              <w:numPr>
                <w:ilvl w:val="0"/>
                <w:numId w:val="5"/>
              </w:numPr>
              <w:rPr>
                <w:rFonts w:ascii="Verdana" w:hAnsi="Verdana"/>
                <w:b/>
                <w:sz w:val="16"/>
                <w:szCs w:val="16"/>
              </w:rPr>
            </w:pPr>
            <w:r>
              <w:rPr>
                <w:rFonts w:ascii="Arial" w:eastAsiaTheme="minorHAnsi" w:hAnsi="Arial" w:cs="Arial"/>
                <w:sz w:val="26"/>
                <w:szCs w:val="26"/>
              </w:rPr>
              <w:t>Using a common music vocabulary to describe instruments, voices, and musical styles helps people understand one another.</w:t>
            </w:r>
          </w:p>
        </w:tc>
      </w:tr>
      <w:tr w:rsidR="00FB6F55" w:rsidRPr="000B39CE">
        <w:trPr>
          <w:jc w:val="center"/>
        </w:trPr>
        <w:tc>
          <w:tcPr>
            <w:tcW w:w="4860" w:type="dxa"/>
            <w:vMerge/>
            <w:shd w:val="clear" w:color="auto" w:fill="auto"/>
          </w:tcPr>
          <w:p w:rsidR="00FB6F55" w:rsidRPr="000B39CE" w:rsidRDefault="00FB6F55" w:rsidP="00C8180E">
            <w:pPr>
              <w:rPr>
                <w:rFonts w:ascii="Verdana" w:hAnsi="Verdana"/>
                <w:b/>
              </w:rPr>
            </w:pPr>
          </w:p>
        </w:tc>
        <w:tc>
          <w:tcPr>
            <w:tcW w:w="9000" w:type="dxa"/>
            <w:shd w:val="clear" w:color="auto" w:fill="auto"/>
          </w:tcPr>
          <w:p w:rsidR="00FB6F55" w:rsidRPr="000B39CE" w:rsidRDefault="00FB6F55" w:rsidP="00A5260C">
            <w:pPr>
              <w:rPr>
                <w:rFonts w:ascii="Verdana" w:hAnsi="Verdana" w:cs="Arial"/>
                <w:b/>
                <w:sz w:val="20"/>
                <w:szCs w:val="20"/>
              </w:rPr>
            </w:pPr>
            <w:r w:rsidRPr="000B39CE">
              <w:rPr>
                <w:rFonts w:ascii="Verdana" w:hAnsi="Verdana" w:cs="Arial"/>
                <w:b/>
                <w:sz w:val="20"/>
                <w:szCs w:val="20"/>
              </w:rPr>
              <w:t>Nature of the Discipline</w:t>
            </w:r>
            <w:r>
              <w:rPr>
                <w:rFonts w:ascii="Verdana" w:hAnsi="Verdana" w:cs="Arial"/>
                <w:b/>
                <w:sz w:val="20"/>
                <w:szCs w:val="20"/>
              </w:rPr>
              <w:t xml:space="preserve"> (Mathematics, Science, etc.)</w:t>
            </w:r>
            <w:r w:rsidRPr="000B39CE">
              <w:rPr>
                <w:rFonts w:ascii="Verdana" w:hAnsi="Verdana" w:cs="Arial"/>
                <w:b/>
                <w:sz w:val="20"/>
                <w:szCs w:val="20"/>
              </w:rPr>
              <w:t>:</w:t>
            </w:r>
          </w:p>
          <w:p w:rsidR="00FB6F55" w:rsidRPr="000B39CE" w:rsidRDefault="00FB6F55" w:rsidP="00A5260C">
            <w:pPr>
              <w:rPr>
                <w:rFonts w:ascii="Verdana" w:hAnsi="Verdana" w:cs="Verdana"/>
                <w:sz w:val="11"/>
                <w:szCs w:val="18"/>
              </w:rPr>
            </w:pP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The role of the audience in a musical performance includes listening to and appreciating music, being respectful of others, and encouraging the performers, when appropriate.</w:t>
            </w:r>
          </w:p>
          <w:p w:rsidR="0050246F" w:rsidRPr="00F21BAF" w:rsidRDefault="0050246F" w:rsidP="0050246F">
            <w:pPr>
              <w:pStyle w:val="ListParagraph"/>
              <w:numPr>
                <w:ilvl w:val="0"/>
                <w:numId w:val="6"/>
              </w:numPr>
              <w:ind w:hanging="576"/>
              <w:rPr>
                <w:rFonts w:ascii="Verdana" w:hAnsi="Verdana"/>
                <w:b/>
              </w:rPr>
            </w:pPr>
            <w:r>
              <w:rPr>
                <w:rFonts w:ascii="Arial" w:eastAsiaTheme="minorHAnsi" w:hAnsi="Arial" w:cs="Arial"/>
                <w:sz w:val="26"/>
                <w:szCs w:val="26"/>
              </w:rPr>
              <w:t>People have individual musical preferences because in many ways, music affects individuals differently.</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like other art forms, exists to express thoughts and emotions as well as communicate how people perceive the world.</w:t>
            </w:r>
          </w:p>
          <w:p w:rsidR="0050246F" w:rsidRPr="00F21BAF" w:rsidRDefault="0050246F" w:rsidP="0050246F">
            <w:pPr>
              <w:pStyle w:val="ListParagraph"/>
              <w:numPr>
                <w:ilvl w:val="0"/>
                <w:numId w:val="6"/>
              </w:numPr>
              <w:ind w:hanging="576"/>
              <w:rPr>
                <w:rFonts w:ascii="Verdana" w:hAnsi="Verdana"/>
                <w:b/>
              </w:rPr>
            </w:pPr>
            <w:r>
              <w:rPr>
                <w:rFonts w:ascii="Arial" w:eastAsiaTheme="minorHAnsi" w:hAnsi="Arial" w:cs="Arial"/>
                <w:sz w:val="26"/>
                <w:szCs w:val="26"/>
              </w:rPr>
              <w:t>When people listen to music, they can perceive some of the thoughts and feelings of the musician who created it.</w:t>
            </w:r>
          </w:p>
          <w:p w:rsidR="0050246F" w:rsidRDefault="0050246F" w:rsidP="0050246F">
            <w:pPr>
              <w:widowControl w:val="0"/>
              <w:numPr>
                <w:ilvl w:val="0"/>
                <w:numId w:val="4"/>
              </w:numPr>
              <w:tabs>
                <w:tab w:val="left" w:pos="220"/>
                <w:tab w:val="left" w:pos="720"/>
              </w:tabs>
              <w:autoSpaceDE w:val="0"/>
              <w:autoSpaceDN w:val="0"/>
              <w:adjustRightInd w:val="0"/>
              <w:ind w:hanging="576"/>
              <w:rPr>
                <w:rFonts w:ascii="Arial" w:eastAsiaTheme="minorHAnsi" w:hAnsi="Arial" w:cs="Arial"/>
                <w:sz w:val="26"/>
                <w:szCs w:val="26"/>
                <w:lang w:eastAsia="en-US"/>
              </w:rPr>
            </w:pPr>
            <w:r>
              <w:rPr>
                <w:rFonts w:ascii="Arial" w:eastAsiaTheme="minorHAnsi" w:hAnsi="Arial" w:cs="Arial"/>
                <w:sz w:val="26"/>
                <w:szCs w:val="26"/>
                <w:lang w:eastAsia="en-US"/>
              </w:rPr>
              <w:t>Music has many uses and functions in people's lives.</w:t>
            </w:r>
          </w:p>
          <w:p w:rsidR="00FB6F55" w:rsidRPr="000C1B7C" w:rsidRDefault="0050246F" w:rsidP="0050246F">
            <w:pPr>
              <w:pStyle w:val="ListParagraph"/>
              <w:numPr>
                <w:ilvl w:val="0"/>
                <w:numId w:val="6"/>
              </w:numPr>
              <w:rPr>
                <w:rFonts w:ascii="Verdana" w:hAnsi="Verdana"/>
                <w:b/>
              </w:rPr>
            </w:pPr>
            <w:r>
              <w:rPr>
                <w:rFonts w:ascii="Arial" w:eastAsiaTheme="minorHAnsi" w:hAnsi="Arial" w:cs="Arial"/>
                <w:sz w:val="26"/>
                <w:szCs w:val="26"/>
              </w:rPr>
              <w:t>Different kinds of music are appropriate for different functions and events.</w:t>
            </w:r>
          </w:p>
        </w:tc>
      </w:tr>
      <w:tr w:rsidR="00FB6F55" w:rsidRPr="000B39CE">
        <w:trPr>
          <w:cantSplit/>
          <w:jc w:val="center"/>
        </w:trPr>
        <w:tc>
          <w:tcPr>
            <w:tcW w:w="13860" w:type="dxa"/>
            <w:gridSpan w:val="2"/>
            <w:tcBorders>
              <w:top w:val="single" w:sz="4" w:space="0" w:color="auto"/>
              <w:left w:val="single" w:sz="4" w:space="0" w:color="auto"/>
              <w:bottom w:val="single" w:sz="6" w:space="0" w:color="auto"/>
              <w:right w:val="single" w:sz="4" w:space="0" w:color="auto"/>
            </w:tcBorders>
            <w:shd w:val="clear" w:color="auto" w:fill="D9D9D9"/>
          </w:tcPr>
          <w:p w:rsidR="00FB6F55" w:rsidRPr="000B39CE" w:rsidRDefault="00FB6F55" w:rsidP="00C8180E">
            <w:pPr>
              <w:rPr>
                <w:rFonts w:ascii="Verdana" w:hAnsi="Verdana"/>
                <w:b/>
                <w:bCs/>
              </w:rPr>
            </w:pPr>
            <w:r>
              <w:rPr>
                <w:rFonts w:ascii="Verdana" w:hAnsi="Verdana"/>
                <w:b/>
                <w:bCs/>
              </w:rPr>
              <w:t>Essential Vocabulary</w:t>
            </w:r>
          </w:p>
        </w:tc>
      </w:tr>
      <w:tr w:rsidR="00FB6F55"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FB6F55" w:rsidRPr="00085461" w:rsidRDefault="00566097" w:rsidP="00A91B8B">
            <w:pPr>
              <w:numPr>
                <w:ilvl w:val="0"/>
                <w:numId w:val="3"/>
              </w:numPr>
              <w:spacing w:before="120" w:after="120"/>
              <w:rPr>
                <w:rFonts w:ascii="Verdana" w:hAnsi="Verdana"/>
                <w:sz w:val="22"/>
                <w:szCs w:val="22"/>
              </w:rPr>
            </w:pPr>
            <w:r>
              <w:rPr>
                <w:rFonts w:ascii="Verdana" w:hAnsi="Verdana"/>
                <w:sz w:val="22"/>
                <w:szCs w:val="22"/>
              </w:rPr>
              <w:t>Performer, audience</w:t>
            </w:r>
          </w:p>
        </w:tc>
      </w:tr>
      <w:tr w:rsidR="00FB6F55"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FB6F55" w:rsidRDefault="00FB6F55" w:rsidP="00C8180E">
            <w:pPr>
              <w:rPr>
                <w:rFonts w:ascii="Verdana" w:hAnsi="Verdana"/>
                <w:b/>
                <w:szCs w:val="20"/>
              </w:rPr>
            </w:pPr>
            <w:r>
              <w:rPr>
                <w:rFonts w:ascii="Verdana" w:hAnsi="Verdana"/>
                <w:b/>
                <w:szCs w:val="20"/>
              </w:rPr>
              <w:t>Assessments</w:t>
            </w:r>
          </w:p>
        </w:tc>
      </w:tr>
      <w:tr w:rsidR="00FB6F55"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FFFFFF"/>
          </w:tcPr>
          <w:p w:rsidR="00FB6F55" w:rsidRPr="0091035E" w:rsidRDefault="004F0010" w:rsidP="003D6AE3">
            <w:pPr>
              <w:numPr>
                <w:ilvl w:val="0"/>
                <w:numId w:val="3"/>
              </w:numPr>
              <w:spacing w:before="120" w:after="120"/>
              <w:rPr>
                <w:rFonts w:ascii="Verdana" w:hAnsi="Verdana"/>
                <w:sz w:val="22"/>
                <w:szCs w:val="22"/>
              </w:rPr>
            </w:pPr>
            <w:r>
              <w:rPr>
                <w:rFonts w:ascii="Verdana" w:hAnsi="Verdana"/>
                <w:sz w:val="22"/>
                <w:szCs w:val="22"/>
              </w:rPr>
              <w:t>TBD</w:t>
            </w:r>
          </w:p>
        </w:tc>
      </w:tr>
      <w:tr w:rsidR="00FB6F55" w:rsidRPr="000B39CE">
        <w:trPr>
          <w:cantSplit/>
          <w:jc w:val="center"/>
        </w:trPr>
        <w:tc>
          <w:tcPr>
            <w:tcW w:w="13860" w:type="dxa"/>
            <w:gridSpan w:val="2"/>
            <w:tcBorders>
              <w:top w:val="single" w:sz="6" w:space="0" w:color="auto"/>
              <w:left w:val="single" w:sz="4" w:space="0" w:color="auto"/>
              <w:bottom w:val="single" w:sz="6" w:space="0" w:color="auto"/>
              <w:right w:val="single" w:sz="4" w:space="0" w:color="auto"/>
            </w:tcBorders>
            <w:shd w:val="clear" w:color="auto" w:fill="D9D9D9"/>
          </w:tcPr>
          <w:p w:rsidR="00FB6F55" w:rsidRDefault="00FB6F55" w:rsidP="00C8180E">
            <w:pPr>
              <w:rPr>
                <w:rFonts w:ascii="Verdana" w:hAnsi="Verdana"/>
                <w:b/>
                <w:szCs w:val="20"/>
              </w:rPr>
            </w:pPr>
            <w:r>
              <w:rPr>
                <w:rFonts w:ascii="Verdana" w:hAnsi="Verdana"/>
                <w:b/>
                <w:szCs w:val="20"/>
              </w:rPr>
              <w:t>Instructional Resources</w:t>
            </w:r>
          </w:p>
        </w:tc>
      </w:tr>
      <w:tr w:rsidR="00FB6F55" w:rsidRPr="000B39CE">
        <w:trPr>
          <w:cantSplit/>
          <w:jc w:val="center"/>
        </w:trPr>
        <w:tc>
          <w:tcPr>
            <w:tcW w:w="13860" w:type="dxa"/>
            <w:gridSpan w:val="2"/>
            <w:tcBorders>
              <w:top w:val="single" w:sz="6" w:space="0" w:color="auto"/>
              <w:left w:val="single" w:sz="4" w:space="0" w:color="auto"/>
              <w:bottom w:val="single" w:sz="4" w:space="0" w:color="auto"/>
              <w:right w:val="single" w:sz="4" w:space="0" w:color="auto"/>
            </w:tcBorders>
            <w:shd w:val="clear" w:color="auto" w:fill="FFFFFF"/>
          </w:tcPr>
          <w:p w:rsidR="00FB6F55" w:rsidRPr="0091035E" w:rsidRDefault="00036499" w:rsidP="00A91B8B">
            <w:pPr>
              <w:numPr>
                <w:ilvl w:val="0"/>
                <w:numId w:val="3"/>
              </w:numPr>
              <w:spacing w:before="120" w:after="120"/>
              <w:rPr>
                <w:rFonts w:ascii="Verdana" w:hAnsi="Verdana"/>
                <w:sz w:val="22"/>
                <w:szCs w:val="22"/>
              </w:rPr>
            </w:pPr>
            <w:r>
              <w:rPr>
                <w:rFonts w:ascii="Verdana" w:hAnsi="Verdana"/>
                <w:sz w:val="22"/>
                <w:szCs w:val="22"/>
              </w:rPr>
              <w:t>Spotlight on Music</w:t>
            </w:r>
            <w:r w:rsidR="00566097">
              <w:rPr>
                <w:rFonts w:ascii="Verdana" w:hAnsi="Verdana"/>
                <w:sz w:val="22"/>
                <w:szCs w:val="22"/>
              </w:rPr>
              <w:t xml:space="preserve"> texbook, CD</w:t>
            </w:r>
          </w:p>
        </w:tc>
      </w:tr>
    </w:tbl>
    <w:p w:rsidR="00FB6F55" w:rsidRPr="006A780A" w:rsidRDefault="00FB6F55" w:rsidP="00FB6F55"/>
    <w:p w:rsidR="00B84F25" w:rsidRDefault="004F0010"/>
    <w:sectPr w:rsidR="00B84F25" w:rsidSect="00A5260C">
      <w:headerReference w:type="default" r:id="rId9"/>
      <w:footerReference w:type="default" r:id="rId10"/>
      <w:pgSz w:w="15840" w:h="12240" w:orient="landscape" w:code="1"/>
      <w:pgMar w:top="720" w:right="1152" w:bottom="1008" w:left="1152" w:header="576" w:footer="504"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74" w:rsidRPr="005D6474" w:rsidRDefault="00036499" w:rsidP="005D6474">
    <w:pPr>
      <w:pStyle w:val="Footer"/>
      <w:jc w:val="center"/>
      <w:rPr>
        <w:sz w:val="22"/>
        <w:szCs w:val="22"/>
      </w:rPr>
    </w:pPr>
    <w:r w:rsidRPr="005D6474">
      <w:rPr>
        <w:sz w:val="22"/>
        <w:szCs w:val="22"/>
      </w:rPr>
      <w:t>Department of Assessment, Curriculum, and Instruction</w:t>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r>
    <w:r w:rsidRPr="005D6474">
      <w:rPr>
        <w:sz w:val="22"/>
        <w:szCs w:val="22"/>
      </w:rPr>
      <w:tab/>
      <w:t xml:space="preserve">Page </w:t>
    </w:r>
    <w:r w:rsidR="003B36EE" w:rsidRPr="005D6474">
      <w:rPr>
        <w:sz w:val="22"/>
        <w:szCs w:val="22"/>
      </w:rPr>
      <w:fldChar w:fldCharType="begin"/>
    </w:r>
    <w:r w:rsidRPr="005D6474">
      <w:rPr>
        <w:sz w:val="22"/>
        <w:szCs w:val="22"/>
      </w:rPr>
      <w:instrText xml:space="preserve"> PAGE </w:instrText>
    </w:r>
    <w:r w:rsidR="003B36EE" w:rsidRPr="005D6474">
      <w:rPr>
        <w:sz w:val="22"/>
        <w:szCs w:val="22"/>
      </w:rPr>
      <w:fldChar w:fldCharType="separate"/>
    </w:r>
    <w:r w:rsidR="004F0010">
      <w:rPr>
        <w:noProof/>
        <w:sz w:val="22"/>
        <w:szCs w:val="22"/>
      </w:rPr>
      <w:t>4</w:t>
    </w:r>
    <w:r w:rsidR="003B36EE" w:rsidRPr="005D6474">
      <w:rPr>
        <w:sz w:val="22"/>
        <w:szCs w:val="22"/>
      </w:rPr>
      <w:fldChar w:fldCharType="end"/>
    </w:r>
    <w:r w:rsidRPr="005D6474">
      <w:rPr>
        <w:sz w:val="22"/>
        <w:szCs w:val="22"/>
      </w:rPr>
      <w:t xml:space="preserve"> of </w:t>
    </w:r>
    <w:r w:rsidR="003B36EE" w:rsidRPr="005D6474">
      <w:rPr>
        <w:sz w:val="22"/>
        <w:szCs w:val="22"/>
      </w:rPr>
      <w:fldChar w:fldCharType="begin"/>
    </w:r>
    <w:r w:rsidRPr="005D6474">
      <w:rPr>
        <w:sz w:val="22"/>
        <w:szCs w:val="22"/>
      </w:rPr>
      <w:instrText xml:space="preserve"> NUMPAGES </w:instrText>
    </w:r>
    <w:r w:rsidR="003B36EE" w:rsidRPr="005D6474">
      <w:rPr>
        <w:sz w:val="22"/>
        <w:szCs w:val="22"/>
      </w:rPr>
      <w:fldChar w:fldCharType="separate"/>
    </w:r>
    <w:r w:rsidR="004F0010">
      <w:rPr>
        <w:noProof/>
        <w:sz w:val="22"/>
        <w:szCs w:val="22"/>
      </w:rPr>
      <w:t>4</w:t>
    </w:r>
    <w:r w:rsidR="003B36EE" w:rsidRPr="005D6474">
      <w:rPr>
        <w:sz w:val="22"/>
        <w:szCs w:val="22"/>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84"/>
      <w:gridCol w:w="4584"/>
      <w:gridCol w:w="4584"/>
    </w:tblGrid>
    <w:tr w:rsidR="0081375C">
      <w:tc>
        <w:tcPr>
          <w:tcW w:w="4584" w:type="dxa"/>
          <w:vAlign w:val="center"/>
        </w:tcPr>
        <w:p w:rsidR="0081375C" w:rsidRDefault="00036499" w:rsidP="00EA2EF5">
          <w:pPr>
            <w:rPr>
              <w:rFonts w:ascii="Arial" w:hAnsi="Arial" w:cs="Arial"/>
              <w:b/>
              <w:bCs/>
              <w:color w:val="111111"/>
            </w:rPr>
          </w:pPr>
          <w:r>
            <w:rPr>
              <w:rFonts w:ascii="Arial" w:hAnsi="Arial" w:cs="Arial"/>
              <w:b/>
              <w:bCs/>
              <w:noProof/>
              <w:color w:val="111111"/>
              <w:lang w:eastAsia="en-US"/>
            </w:rPr>
            <w:drawing>
              <wp:inline distT="0" distB="0" distL="0" distR="0">
                <wp:extent cx="1457325" cy="600075"/>
                <wp:effectExtent l="19050" t="0" r="9525" b="0"/>
                <wp:docPr id="2" name="Picture 1" descr="SVVSD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VSD Logo - Color"/>
                        <pic:cNvPicPr>
                          <a:picLocks noChangeAspect="1" noChangeArrowheads="1"/>
                        </pic:cNvPicPr>
                      </pic:nvPicPr>
                      <pic:blipFill>
                        <a:blip r:embed="rId1"/>
                        <a:srcRect/>
                        <a:stretch>
                          <a:fillRect/>
                        </a:stretch>
                      </pic:blipFill>
                      <pic:spPr bwMode="auto">
                        <a:xfrm>
                          <a:off x="0" y="0"/>
                          <a:ext cx="1457325" cy="600075"/>
                        </a:xfrm>
                        <a:prstGeom prst="rect">
                          <a:avLst/>
                        </a:prstGeom>
                        <a:noFill/>
                        <a:ln w="9525">
                          <a:noFill/>
                          <a:miter lim="800000"/>
                          <a:headEnd/>
                          <a:tailEnd/>
                        </a:ln>
                      </pic:spPr>
                    </pic:pic>
                  </a:graphicData>
                </a:graphic>
              </wp:inline>
            </w:drawing>
          </w:r>
        </w:p>
      </w:tc>
      <w:tc>
        <w:tcPr>
          <w:tcW w:w="4584" w:type="dxa"/>
          <w:vAlign w:val="center"/>
        </w:tcPr>
        <w:p w:rsidR="0081375C" w:rsidRPr="004040E1" w:rsidRDefault="00FB6F55" w:rsidP="00EA2EF5">
          <w:pPr>
            <w:jc w:val="center"/>
            <w:rPr>
              <w:rFonts w:ascii="Arial" w:hAnsi="Arial" w:cs="Arial"/>
              <w:b/>
              <w:bCs/>
              <w:color w:val="111111"/>
              <w:sz w:val="36"/>
              <w:szCs w:val="36"/>
            </w:rPr>
          </w:pPr>
          <w:r>
            <w:rPr>
              <w:rFonts w:ascii="Arial" w:hAnsi="Arial" w:cs="Arial"/>
              <w:b/>
              <w:bCs/>
              <w:color w:val="111111"/>
              <w:sz w:val="36"/>
              <w:szCs w:val="36"/>
            </w:rPr>
            <w:t>Trimester 1 Standard 4</w:t>
          </w:r>
        </w:p>
      </w:tc>
      <w:tc>
        <w:tcPr>
          <w:tcW w:w="4584" w:type="dxa"/>
          <w:vAlign w:val="center"/>
        </w:tcPr>
        <w:p w:rsidR="0081375C" w:rsidRDefault="00036499" w:rsidP="00EA2EF5">
          <w:pPr>
            <w:jc w:val="right"/>
            <w:rPr>
              <w:rFonts w:ascii="Arial" w:hAnsi="Arial" w:cs="Arial"/>
              <w:b/>
              <w:bCs/>
              <w:color w:val="111111"/>
              <w:sz w:val="28"/>
              <w:szCs w:val="28"/>
            </w:rPr>
          </w:pPr>
          <w:r>
            <w:rPr>
              <w:rFonts w:ascii="Arial" w:hAnsi="Arial" w:cs="Arial"/>
              <w:b/>
              <w:bCs/>
              <w:color w:val="111111"/>
              <w:sz w:val="28"/>
              <w:szCs w:val="28"/>
            </w:rPr>
            <w:t>First Grade Music</w:t>
          </w:r>
        </w:p>
        <w:p w:rsidR="00487F71" w:rsidRPr="00487F71" w:rsidRDefault="00036499" w:rsidP="00EA2EF5">
          <w:pPr>
            <w:jc w:val="right"/>
            <w:rPr>
              <w:rFonts w:ascii="Arial" w:hAnsi="Arial" w:cs="Arial"/>
              <w:bCs/>
              <w:color w:val="111111"/>
              <w:sz w:val="22"/>
              <w:szCs w:val="22"/>
            </w:rPr>
          </w:pPr>
          <w:r w:rsidRPr="00487F71">
            <w:rPr>
              <w:rFonts w:ascii="Arial" w:hAnsi="Arial" w:cs="Arial"/>
              <w:bCs/>
              <w:color w:val="111111"/>
              <w:sz w:val="22"/>
              <w:szCs w:val="22"/>
            </w:rPr>
            <w:t>2011-2012</w:t>
          </w:r>
        </w:p>
      </w:tc>
    </w:tr>
  </w:tbl>
  <w:p w:rsidR="0081375C" w:rsidRDefault="004F001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BD6E68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F409D"/>
    <w:multiLevelType w:val="hybridMultilevel"/>
    <w:tmpl w:val="F140DC2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9668B"/>
    <w:multiLevelType w:val="hybridMultilevel"/>
    <w:tmpl w:val="E05A76E4"/>
    <w:lvl w:ilvl="0" w:tplc="23526B4C">
      <w:numFmt w:val="bullet"/>
      <w:lvlText w:val=""/>
      <w:lvlJc w:val="left"/>
      <w:pPr>
        <w:ind w:left="10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29723E"/>
    <w:multiLevelType w:val="hybridMultilevel"/>
    <w:tmpl w:val="F3CC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71578"/>
    <w:multiLevelType w:val="hybridMultilevel"/>
    <w:tmpl w:val="01268280"/>
    <w:lvl w:ilvl="0" w:tplc="684EF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1A3C11"/>
    <w:multiLevelType w:val="hybridMultilevel"/>
    <w:tmpl w:val="13040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0E0B9D"/>
    <w:multiLevelType w:val="hybridMultilevel"/>
    <w:tmpl w:val="921CAC6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35D91"/>
    <w:multiLevelType w:val="hybridMultilevel"/>
    <w:tmpl w:val="FD80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6F55"/>
    <w:rsid w:val="00036499"/>
    <w:rsid w:val="000B6A08"/>
    <w:rsid w:val="000C1B7C"/>
    <w:rsid w:val="001B43B8"/>
    <w:rsid w:val="003B36EE"/>
    <w:rsid w:val="003D6AE3"/>
    <w:rsid w:val="004D694B"/>
    <w:rsid w:val="004F0010"/>
    <w:rsid w:val="0050246F"/>
    <w:rsid w:val="00566097"/>
    <w:rsid w:val="005923D8"/>
    <w:rsid w:val="00723C5B"/>
    <w:rsid w:val="007A06E8"/>
    <w:rsid w:val="00AB5E06"/>
    <w:rsid w:val="00C07BB7"/>
    <w:rsid w:val="00DB60A2"/>
    <w:rsid w:val="00DC3057"/>
    <w:rsid w:val="00E95737"/>
    <w:rsid w:val="00F005AC"/>
    <w:rsid w:val="00FB6F55"/>
    <w:rsid w:val="00FE3EF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5"/>
    <w:rPr>
      <w:rFonts w:ascii="Times New Roman" w:eastAsia="PMingLiU"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B6F55"/>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B6F55"/>
    <w:pPr>
      <w:ind w:left="720"/>
    </w:pPr>
    <w:rPr>
      <w:rFonts w:eastAsia="Times New Roman"/>
      <w:lang w:eastAsia="en-US"/>
    </w:rPr>
  </w:style>
  <w:style w:type="paragraph" w:styleId="Header">
    <w:name w:val="header"/>
    <w:basedOn w:val="Normal"/>
    <w:link w:val="HeaderChar"/>
    <w:rsid w:val="00FB6F55"/>
    <w:pPr>
      <w:tabs>
        <w:tab w:val="center" w:pos="4320"/>
        <w:tab w:val="right" w:pos="8640"/>
      </w:tabs>
    </w:pPr>
  </w:style>
  <w:style w:type="character" w:customStyle="1" w:styleId="HeaderChar">
    <w:name w:val="Header Char"/>
    <w:basedOn w:val="DefaultParagraphFont"/>
    <w:link w:val="Header"/>
    <w:rsid w:val="00FB6F55"/>
    <w:rPr>
      <w:rFonts w:ascii="Times New Roman" w:eastAsia="PMingLiU" w:hAnsi="Times New Roman" w:cs="Times New Roman"/>
      <w:lang w:eastAsia="zh-TW"/>
    </w:rPr>
  </w:style>
  <w:style w:type="paragraph" w:styleId="Footer">
    <w:name w:val="footer"/>
    <w:basedOn w:val="Normal"/>
    <w:link w:val="FooterChar"/>
    <w:rsid w:val="00FB6F55"/>
    <w:pPr>
      <w:tabs>
        <w:tab w:val="center" w:pos="4320"/>
        <w:tab w:val="right" w:pos="8640"/>
      </w:tabs>
    </w:pPr>
  </w:style>
  <w:style w:type="character" w:customStyle="1" w:styleId="FooterChar">
    <w:name w:val="Footer Char"/>
    <w:basedOn w:val="DefaultParagraphFont"/>
    <w:link w:val="Footer"/>
    <w:rsid w:val="00FB6F55"/>
    <w:rPr>
      <w:rFonts w:ascii="Times New Roman" w:eastAsia="PMingLiU" w:hAnsi="Times New Roman" w:cs="Times New Roman"/>
      <w:lang w:eastAsia="zh-TW"/>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scripts/allstandards/COStandards.asp?stid=5&amp;glid=0&amp;pgcid=69" TargetMode="External"/><Relationship Id="rId6" Type="http://schemas.openxmlformats.org/officeDocument/2006/relationships/hyperlink" Target="http://www.cde.state.co.us/scripts/allstandards/COStandards.asp?stid=5&amp;glid=0&amp;pgcid=70" TargetMode="External"/><Relationship Id="rId7" Type="http://schemas.openxmlformats.org/officeDocument/2006/relationships/hyperlink" Target="http://www.cde.state.co.us/scripts/allstandards/COStandards.asp?stid=5&amp;glid=0&amp;pgcid=67" TargetMode="External"/><Relationship Id="rId8" Type="http://schemas.openxmlformats.org/officeDocument/2006/relationships/hyperlink" Target="http://www.cde.state.co.us/scripts/allstandards/COStandards.asp?stid=5&amp;glid=0&amp;pgcid=68"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738</Words>
  <Characters>4207</Characters>
  <Application>Microsoft Macintosh Word</Application>
  <DocSecurity>0</DocSecurity>
  <Lines>35</Lines>
  <Paragraphs>8</Paragraphs>
  <ScaleCrop>false</ScaleCrop>
  <Company>SVVSD</Company>
  <LinksUpToDate>false</LinksUpToDate>
  <CharactersWithSpaces>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test</cp:lastModifiedBy>
  <cp:revision>5</cp:revision>
  <dcterms:created xsi:type="dcterms:W3CDTF">2011-05-17T01:55:00Z</dcterms:created>
  <dcterms:modified xsi:type="dcterms:W3CDTF">2011-06-03T02:55:00Z</dcterms:modified>
</cp:coreProperties>
</file>