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DE7B18">
        <w:trPr>
          <w:trHeight w:val="432"/>
        </w:trPr>
        <w:tc>
          <w:tcPr>
            <w:tcW w:w="10908" w:type="dxa"/>
            <w:vAlign w:val="center"/>
          </w:tcPr>
          <w:p w:rsidR="00DE7B18" w:rsidRPr="00952CD5" w:rsidRDefault="00DE7B18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Unit/Topic Title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Aesthetic Valuation</w:t>
            </w:r>
            <w:r w:rsidRPr="00952CD5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844" w:type="dxa"/>
            <w:vAlign w:val="center"/>
          </w:tcPr>
          <w:p w:rsidR="00DE7B18" w:rsidRPr="00952CD5" w:rsidRDefault="00DE7B18" w:rsidP="00952CD5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Trimester/Semester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</w:t>
            </w:r>
            <w:r w:rsidR="00D42291">
              <w:rPr>
                <w:rFonts w:ascii="Arial" w:hAnsi="Arial" w:cs="Arial"/>
                <w:b/>
              </w:rPr>
              <w:t>2</w:t>
            </w:r>
          </w:p>
        </w:tc>
      </w:tr>
      <w:tr w:rsidR="00DE7B18">
        <w:trPr>
          <w:trHeight w:val="432"/>
        </w:trPr>
        <w:tc>
          <w:tcPr>
            <w:tcW w:w="13752" w:type="dxa"/>
            <w:gridSpan w:val="2"/>
            <w:vAlign w:val="center"/>
          </w:tcPr>
          <w:p w:rsidR="00DE7B18" w:rsidRPr="00952CD5" w:rsidRDefault="00DE7B18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Estimated Time (When)</w:t>
            </w:r>
            <w:proofErr w:type="gramStart"/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 Trimester</w:t>
            </w:r>
            <w:proofErr w:type="gramEnd"/>
            <w:r w:rsidRPr="00952CD5">
              <w:rPr>
                <w:rFonts w:ascii="Arial" w:hAnsi="Arial" w:cs="Arial"/>
                <w:b/>
              </w:rPr>
              <w:t xml:space="preserve"> </w:t>
            </w:r>
            <w:r w:rsidR="00D42291">
              <w:rPr>
                <w:rFonts w:ascii="Arial" w:hAnsi="Arial" w:cs="Arial"/>
                <w:b/>
              </w:rPr>
              <w:t>2</w:t>
            </w:r>
          </w:p>
        </w:tc>
      </w:tr>
    </w:tbl>
    <w:p w:rsidR="00DE7B18" w:rsidRPr="00687F92" w:rsidRDefault="00DE7B18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DE7B18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18" w:rsidRDefault="00DE7B18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DE7B18" w:rsidRPr="004771C0" w:rsidRDefault="00703D6C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="00DE7B18">
              <w:rPr>
                <w:rFonts w:ascii="Verdana" w:hAnsi="Verdana" w:cs="Verdana"/>
              </w:rPr>
              <w:t>.  Aesthetic Valuation of Music</w:t>
            </w:r>
          </w:p>
        </w:tc>
      </w:tr>
      <w:tr w:rsidR="00DE7B18" w:rsidRPr="000B39CE">
        <w:trPr>
          <w:gridAfter w:val="1"/>
          <w:wAfter w:w="516" w:type="dxa"/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5A4C" w:rsidRPr="009B4326" w:rsidRDefault="009B4326" w:rsidP="00775A4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8"/>
                <w:szCs w:val="26"/>
                <w:lang w:eastAsia="en-US"/>
              </w:rPr>
            </w:pPr>
            <w:r>
              <w:rPr>
                <w:rFonts w:ascii="Verdana" w:hAnsi="Verdana" w:cs="Arial"/>
                <w:b/>
                <w:sz w:val="28"/>
                <w:szCs w:val="26"/>
                <w:lang w:eastAsia="en-US"/>
              </w:rPr>
              <w:t>Prepared Graduates:</w:t>
            </w:r>
          </w:p>
          <w:p w:rsidR="00775A4C" w:rsidRDefault="00775A4C" w:rsidP="009B43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82" w:hanging="36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Make informed, critical evaluations of the effectiveness of musical works and performances on the basis of</w:t>
            </w:r>
            <w:r w:rsidR="009B4326">
              <w:rPr>
                <w:rFonts w:ascii="Verdana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aesthetic qualities, technical excellence, musicality, or convincing expression of feelings and ideas related to</w:t>
            </w:r>
            <w:r w:rsidR="009B4326">
              <w:rPr>
                <w:rFonts w:ascii="Verdana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cultural and ideological associations</w:t>
            </w:r>
          </w:p>
          <w:p w:rsidR="00775A4C" w:rsidRDefault="00775A4C" w:rsidP="009B43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82" w:hanging="36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Develop a framework for making informed personal musical choices, and utilize that framework in the making and defending of musical choices</w:t>
            </w:r>
          </w:p>
          <w:p w:rsidR="00B74642" w:rsidRDefault="00B74642" w:rsidP="009B43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82" w:hanging="36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Demonstrate a nuanced understanding of aesthetics in music, appropriate to the particular features of given</w:t>
            </w:r>
            <w:r w:rsidR="009B4326">
              <w:rPr>
                <w:rFonts w:ascii="Verdana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styles and genres, as it relates to the human experience in music</w:t>
            </w:r>
          </w:p>
          <w:p w:rsidR="00DE7B18" w:rsidRPr="00703D6C" w:rsidRDefault="00B74642" w:rsidP="009B43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82" w:hanging="36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Know the place of each of the participants in the performance environment and practice appropriate audience</w:t>
            </w:r>
            <w:r w:rsidR="009B4326">
              <w:rPr>
                <w:rFonts w:ascii="Verdana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participation; recognize the place and importance of music in life</w:t>
            </w:r>
          </w:p>
        </w:tc>
      </w:tr>
      <w:tr w:rsidR="00DE7B18" w:rsidRPr="000B39CE">
        <w:trPr>
          <w:gridAfter w:val="1"/>
          <w:wAfter w:w="516" w:type="dxa"/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DE7B18" w:rsidRPr="000865CE" w:rsidRDefault="00DE7B18" w:rsidP="0003788E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DE7B18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DE7B18" w:rsidRPr="0091035E" w:rsidRDefault="00DE7B18" w:rsidP="00C8180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 w:rsidR="00390DB5">
              <w:rPr>
                <w:rFonts w:ascii="Verdana" w:hAnsi="Verdana"/>
                <w:b/>
                <w:bCs/>
                <w:sz w:val="28"/>
                <w:szCs w:val="28"/>
              </w:rPr>
              <w:t>Level Expectation: 4</w:t>
            </w:r>
            <w:r w:rsidR="00390DB5" w:rsidRPr="00390DB5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th</w:t>
            </w:r>
            <w:r w:rsidR="00390DB5">
              <w:rPr>
                <w:rFonts w:ascii="Verdana" w:hAnsi="Verdana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DE7B18" w:rsidRPr="000B39C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DE7B18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B74642" w:rsidRPr="00B74642" w:rsidRDefault="00B74642" w:rsidP="00B746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</w:rPr>
              <w:t>Explain personal preferences for specific music</w:t>
            </w:r>
          </w:p>
          <w:p w:rsidR="00B74642" w:rsidRPr="00B74642" w:rsidRDefault="00B74642" w:rsidP="00B746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B74642">
              <w:rPr>
                <w:rFonts w:ascii="Verdana" w:hAnsi="Verdana" w:cs="Verdana"/>
                <w:color w:val="000000"/>
                <w:sz w:val="28"/>
                <w:szCs w:val="28"/>
              </w:rPr>
              <w:t>Comprehend and respect the musical values of others considering cultural context as an</w:t>
            </w:r>
          </w:p>
          <w:p w:rsidR="00DE7B18" w:rsidRPr="00DB703A" w:rsidRDefault="00B74642" w:rsidP="00B74642">
            <w:pPr>
              <w:pStyle w:val="ListParagraph"/>
              <w:ind w:left="360"/>
              <w:rPr>
                <w:rFonts w:ascii="Verdana" w:hAnsi="Verdana"/>
                <w:bCs/>
                <w:sz w:val="28"/>
                <w:szCs w:val="28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8"/>
                <w:szCs w:val="28"/>
              </w:rPr>
              <w:t>element</w:t>
            </w:r>
            <w:proofErr w:type="gramEnd"/>
            <w:r>
              <w:rPr>
                <w:rFonts w:ascii="Verdana" w:hAnsi="Verdana" w:cs="Verdana"/>
                <w:color w:val="000000"/>
                <w:sz w:val="28"/>
                <w:szCs w:val="28"/>
              </w:rPr>
              <w:t xml:space="preserve"> of musical evaluation and meaning</w:t>
            </w: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DE7B18" w:rsidRPr="00C03768" w:rsidRDefault="00DE7B18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DE7B18" w:rsidRPr="000B39CE" w:rsidRDefault="00DE7B18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DE7B18" w:rsidRPr="000B39CE" w:rsidRDefault="00DE7B18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DE7B18" w:rsidRPr="000B39CE" w:rsidRDefault="00DE7B18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DE7B18" w:rsidRPr="00D42291" w:rsidRDefault="00D42291" w:rsidP="00D42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 evidence outcomes this trimester</w:t>
            </w:r>
          </w:p>
        </w:tc>
        <w:tc>
          <w:tcPr>
            <w:tcW w:w="9000" w:type="dxa"/>
          </w:tcPr>
          <w:p w:rsidR="00B74642" w:rsidRPr="00B74642" w:rsidRDefault="00DE7B18" w:rsidP="00B74642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B74642" w:rsidRDefault="00B7464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492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Why is it beneficial to experience a wide variety of musical styles as a listener and a performer?</w:t>
            </w:r>
          </w:p>
          <w:p w:rsidR="00B74642" w:rsidRDefault="00B7464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492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Why is it important to have a variety and diversity of musical styles available to society?</w:t>
            </w:r>
          </w:p>
          <w:p w:rsidR="00A07BE2" w:rsidRPr="00A07BE2" w:rsidRDefault="00B7464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492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How are preferences better communicated when appropriate music terminology is used?</w:t>
            </w:r>
          </w:p>
          <w:p w:rsidR="00A07BE2" w:rsidRDefault="00A07BE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What historical factors contributed to the development of a "western" style of American music?</w:t>
            </w:r>
          </w:p>
          <w:p w:rsidR="00A07BE2" w:rsidRDefault="00A07BE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Who are important past and present musicians of Colorado?</w:t>
            </w:r>
          </w:p>
          <w:p w:rsidR="00A07BE2" w:rsidRDefault="00A07BE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Where in Colorado are particular styles of music most prevalent?</w:t>
            </w:r>
          </w:p>
          <w:p w:rsidR="00A07BE2" w:rsidRDefault="00A07BE2" w:rsidP="00A07BE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Is any one kind of music better than any another?</w:t>
            </w:r>
          </w:p>
          <w:p w:rsidR="00B74642" w:rsidRDefault="00B74642" w:rsidP="00A07BE2">
            <w:pPr>
              <w:widowControl w:val="0"/>
              <w:tabs>
                <w:tab w:val="left" w:pos="220"/>
                <w:tab w:val="left" w:pos="492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DE7B18" w:rsidRPr="004357F0" w:rsidRDefault="00DE7B18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B74642" w:rsidRPr="00A07BE2" w:rsidRDefault="00DE7B18" w:rsidP="00A07BE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B74642" w:rsidRDefault="00B74642" w:rsidP="00A07BE2">
            <w:pPr>
              <w:widowControl w:val="0"/>
              <w:numPr>
                <w:ilvl w:val="0"/>
                <w:numId w:val="11"/>
              </w:numPr>
              <w:tabs>
                <w:tab w:val="left" w:pos="132"/>
                <w:tab w:val="left" w:pos="220"/>
              </w:tabs>
              <w:autoSpaceDE w:val="0"/>
              <w:autoSpaceDN w:val="0"/>
              <w:adjustRightInd w:val="0"/>
              <w:ind w:left="492" w:hanging="45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Collaboration in determining musical preferences highlights the similarities and differences among people with individual musical tastes.</w:t>
            </w:r>
          </w:p>
          <w:p w:rsidR="00A07BE2" w:rsidRPr="00A07BE2" w:rsidRDefault="00B74642" w:rsidP="00A07BE2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92" w:hanging="45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Ensemble participation develops collaboration and self-direction skills through the demands of discrimination of sound and pitch, following conductor's cues and listening and adjusting to others.</w:t>
            </w:r>
          </w:p>
          <w:p w:rsidR="00A07BE2" w:rsidRDefault="00A07BE2" w:rsidP="00A07BE2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92" w:hanging="45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Examining and listening to music that is unique to Colorado gives historical context to how culture in Colorado evolved and was reinforced by the music predominantly performed, and provides a comparison to other states in the West.</w:t>
            </w:r>
          </w:p>
          <w:p w:rsidR="00A07BE2" w:rsidRDefault="00A07BE2" w:rsidP="00A07BE2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92" w:hanging="45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The Internet can be used to investigate the active presence of local or regional live music, identifying musicians' websites, performance venues, and ticket availability, which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provides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a more direct link to local and regional music trends and influences.</w:t>
            </w:r>
          </w:p>
          <w:p w:rsidR="00B74642" w:rsidRPr="00A07BE2" w:rsidRDefault="00B74642" w:rsidP="00A07B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DE7B18" w:rsidRPr="004357F0" w:rsidRDefault="00DE7B18" w:rsidP="00B7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E7B18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A07BE2" w:rsidRPr="00A07BE2" w:rsidRDefault="00DE7B18" w:rsidP="00A07BE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A07BE2" w:rsidRDefault="00A07BE2" w:rsidP="00A07BE2">
            <w:pPr>
              <w:widowControl w:val="0"/>
              <w:numPr>
                <w:ilvl w:val="0"/>
                <w:numId w:val="13"/>
              </w:numPr>
              <w:tabs>
                <w:tab w:val="left" w:pos="42"/>
                <w:tab w:val="left" w:pos="492"/>
                <w:tab w:val="left" w:pos="720"/>
              </w:tabs>
              <w:autoSpaceDE w:val="0"/>
              <w:autoSpaceDN w:val="0"/>
              <w:adjustRightInd w:val="0"/>
              <w:ind w:left="492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Experiences with a variety of musical styles develop an expanded range of personal preferences.</w:t>
            </w:r>
          </w:p>
          <w:p w:rsidR="00A07BE2" w:rsidRPr="00A07BE2" w:rsidRDefault="00A07BE2" w:rsidP="00A07BE2">
            <w:pPr>
              <w:widowControl w:val="0"/>
              <w:numPr>
                <w:ilvl w:val="0"/>
                <w:numId w:val="13"/>
              </w:numPr>
              <w:tabs>
                <w:tab w:val="left" w:pos="42"/>
                <w:tab w:val="left" w:pos="492"/>
                <w:tab w:val="left" w:pos="720"/>
              </w:tabs>
              <w:autoSpaceDE w:val="0"/>
              <w:autoSpaceDN w:val="0"/>
              <w:adjustRightInd w:val="0"/>
              <w:ind w:left="492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Music preferences are sometimes affected by nonmusical but significant factors such as the social meaning of a work at a particular time or for a particular purpose.</w:t>
            </w:r>
          </w:p>
          <w:p w:rsidR="00A07BE2" w:rsidRDefault="00A07BE2" w:rsidP="00A07BE2">
            <w:pPr>
              <w:widowControl w:val="0"/>
              <w:numPr>
                <w:ilvl w:val="0"/>
                <w:numId w:val="13"/>
              </w:numPr>
              <w:tabs>
                <w:tab w:val="left" w:pos="42"/>
                <w:tab w:val="left" w:pos="492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Music represents diverse experiences, thoughts, and emotions, and is unique to each individual with regard to values and opinions.</w:t>
            </w:r>
          </w:p>
          <w:p w:rsidR="00A07BE2" w:rsidRDefault="00A07BE2" w:rsidP="00A07BE2">
            <w:pPr>
              <w:widowControl w:val="0"/>
              <w:numPr>
                <w:ilvl w:val="0"/>
                <w:numId w:val="13"/>
              </w:numPr>
              <w:tabs>
                <w:tab w:val="left" w:pos="42"/>
                <w:tab w:val="left" w:pos="492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Local and regional music groups of all kinds are meaningful sources of culture.</w:t>
            </w:r>
          </w:p>
          <w:p w:rsidR="00A07BE2" w:rsidRDefault="00A07BE2" w:rsidP="00A07B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92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DE7B18" w:rsidRPr="00D54EAE" w:rsidRDefault="00DE7B18" w:rsidP="00B86E9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DE7B18" w:rsidRPr="00D54EAE" w:rsidRDefault="00DE7B18" w:rsidP="00B86E9B">
            <w:pPr>
              <w:pStyle w:val="ListParagraph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  <w:p w:rsidR="00DE7B18" w:rsidRPr="000B39CE" w:rsidRDefault="00DE7B18" w:rsidP="00AE00A2">
            <w:pPr>
              <w:ind w:left="360"/>
              <w:rPr>
                <w:rFonts w:ascii="Verdana" w:hAnsi="Verdana"/>
                <w:b/>
              </w:rPr>
            </w:pPr>
          </w:p>
        </w:tc>
      </w:tr>
      <w:tr w:rsidR="00B83E92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83E92" w:rsidRPr="000B0076" w:rsidRDefault="00B83E92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0B0076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B83E92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E92" w:rsidRPr="000B0076" w:rsidRDefault="00D42291" w:rsidP="00A91B8B">
            <w:pPr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B83E92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B83E92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B83E92" w:rsidRPr="000B0076" w:rsidRDefault="00B83E92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B83E92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83E92" w:rsidRPr="000B0076" w:rsidRDefault="00B83E92" w:rsidP="00A91B8B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D42291">
                    <w:rPr>
                      <w:rFonts w:ascii="Verdana" w:hAnsi="Verdana"/>
                    </w:rPr>
                    <w:t>N/A</w:t>
                  </w:r>
                </w:p>
              </w:tc>
            </w:tr>
            <w:tr w:rsidR="00B83E92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B83E92" w:rsidRPr="000B0076" w:rsidRDefault="00B83E92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B83E92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83E92" w:rsidRPr="000B0076" w:rsidRDefault="00D42291" w:rsidP="00A91B8B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N/A</w:t>
                  </w:r>
                </w:p>
              </w:tc>
            </w:tr>
          </w:tbl>
          <w:p w:rsidR="00B83E92" w:rsidRPr="000B0076" w:rsidRDefault="00B83E92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DE7B18" w:rsidRPr="006A780A" w:rsidRDefault="00DE7B18" w:rsidP="0081375C"/>
    <w:sectPr w:rsidR="00DE7B18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42" w:rsidRDefault="00B74642">
      <w:r>
        <w:separator/>
      </w:r>
    </w:p>
  </w:endnote>
  <w:endnote w:type="continuationSeparator" w:id="0">
    <w:p w:rsidR="00B74642" w:rsidRDefault="00B7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42" w:rsidRPr="005D6474" w:rsidRDefault="00B74642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2B6827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2B6827" w:rsidRPr="005D6474">
      <w:rPr>
        <w:sz w:val="22"/>
        <w:szCs w:val="22"/>
      </w:rPr>
      <w:fldChar w:fldCharType="separate"/>
    </w:r>
    <w:r w:rsidR="00D42291">
      <w:rPr>
        <w:noProof/>
        <w:sz w:val="22"/>
        <w:szCs w:val="22"/>
      </w:rPr>
      <w:t>3</w:t>
    </w:r>
    <w:r w:rsidR="002B6827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2B6827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2B6827" w:rsidRPr="005D6474">
      <w:rPr>
        <w:sz w:val="22"/>
        <w:szCs w:val="22"/>
      </w:rPr>
      <w:fldChar w:fldCharType="separate"/>
    </w:r>
    <w:r w:rsidR="00D42291">
      <w:rPr>
        <w:noProof/>
        <w:sz w:val="22"/>
        <w:szCs w:val="22"/>
      </w:rPr>
      <w:t>3</w:t>
    </w:r>
    <w:r w:rsidR="002B6827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42" w:rsidRDefault="00B74642">
      <w:r>
        <w:separator/>
      </w:r>
    </w:p>
  </w:footnote>
  <w:footnote w:type="continuationSeparator" w:id="0">
    <w:p w:rsidR="00B74642" w:rsidRDefault="00B7464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B74642">
      <w:tc>
        <w:tcPr>
          <w:tcW w:w="4584" w:type="dxa"/>
          <w:vAlign w:val="center"/>
        </w:tcPr>
        <w:p w:rsidR="00B74642" w:rsidRPr="00952CD5" w:rsidRDefault="00B74642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B74642" w:rsidRPr="00952CD5" w:rsidRDefault="00B74642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Aesthetic Valuation</w:t>
          </w:r>
          <w:r w:rsidRPr="00952CD5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B74642" w:rsidRPr="00952CD5" w:rsidRDefault="00B74642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4</w:t>
          </w:r>
        </w:p>
        <w:p w:rsidR="00B74642" w:rsidRPr="00952CD5" w:rsidRDefault="00B74642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B74642" w:rsidRPr="00952CD5" w:rsidRDefault="00B74642" w:rsidP="00952CD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Fourth</w:t>
          </w:r>
          <w:r w:rsidRPr="00952CD5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B74642" w:rsidRPr="00952CD5" w:rsidRDefault="00B74642" w:rsidP="00952CD5">
          <w:pPr>
            <w:jc w:val="right"/>
            <w:rPr>
              <w:rFonts w:ascii="Arial" w:hAnsi="Arial" w:cs="Arial"/>
              <w:bCs/>
              <w:color w:val="111111"/>
            </w:rPr>
          </w:pPr>
          <w:r w:rsidRPr="00952CD5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B74642" w:rsidRDefault="00B7464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06D5B"/>
    <w:multiLevelType w:val="hybridMultilevel"/>
    <w:tmpl w:val="F8B61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D4882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34AC0"/>
    <w:multiLevelType w:val="hybridMultilevel"/>
    <w:tmpl w:val="E82EDE88"/>
    <w:lvl w:ilvl="0" w:tplc="00000001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3892276"/>
    <w:multiLevelType w:val="hybridMultilevel"/>
    <w:tmpl w:val="06B83002"/>
    <w:lvl w:ilvl="0" w:tplc="00000001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8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D18B2"/>
    <w:multiLevelType w:val="hybridMultilevel"/>
    <w:tmpl w:val="BC6E4A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B025E"/>
    <w:multiLevelType w:val="multilevel"/>
    <w:tmpl w:val="BC6E4A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945E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A269F8"/>
    <w:multiLevelType w:val="hybridMultilevel"/>
    <w:tmpl w:val="D6BA15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E45DE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7986DE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E122C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13259"/>
    <w:rsid w:val="00033A0F"/>
    <w:rsid w:val="0003788E"/>
    <w:rsid w:val="00040566"/>
    <w:rsid w:val="00043D4A"/>
    <w:rsid w:val="00085461"/>
    <w:rsid w:val="000865CE"/>
    <w:rsid w:val="00093EDF"/>
    <w:rsid w:val="00095957"/>
    <w:rsid w:val="000B39CE"/>
    <w:rsid w:val="000C7E77"/>
    <w:rsid w:val="000E310C"/>
    <w:rsid w:val="000F634D"/>
    <w:rsid w:val="00103F50"/>
    <w:rsid w:val="001112E1"/>
    <w:rsid w:val="0013108A"/>
    <w:rsid w:val="00146783"/>
    <w:rsid w:val="001558CA"/>
    <w:rsid w:val="00192995"/>
    <w:rsid w:val="001A37E9"/>
    <w:rsid w:val="001D428D"/>
    <w:rsid w:val="001F3EFA"/>
    <w:rsid w:val="00250213"/>
    <w:rsid w:val="0025214F"/>
    <w:rsid w:val="00260080"/>
    <w:rsid w:val="00262B69"/>
    <w:rsid w:val="002A287B"/>
    <w:rsid w:val="002B6827"/>
    <w:rsid w:val="002C2AF9"/>
    <w:rsid w:val="002C6CA7"/>
    <w:rsid w:val="002D024A"/>
    <w:rsid w:val="002D0AEE"/>
    <w:rsid w:val="002E71E0"/>
    <w:rsid w:val="002F02B8"/>
    <w:rsid w:val="00303BE9"/>
    <w:rsid w:val="00327772"/>
    <w:rsid w:val="00341047"/>
    <w:rsid w:val="00390DB5"/>
    <w:rsid w:val="004040E1"/>
    <w:rsid w:val="004258A8"/>
    <w:rsid w:val="00433379"/>
    <w:rsid w:val="004357F0"/>
    <w:rsid w:val="004500C1"/>
    <w:rsid w:val="004771C0"/>
    <w:rsid w:val="00481CAF"/>
    <w:rsid w:val="00487F71"/>
    <w:rsid w:val="00496163"/>
    <w:rsid w:val="00496BCB"/>
    <w:rsid w:val="004974A9"/>
    <w:rsid w:val="004D4484"/>
    <w:rsid w:val="005110C0"/>
    <w:rsid w:val="005643B7"/>
    <w:rsid w:val="005C0CA7"/>
    <w:rsid w:val="005D6474"/>
    <w:rsid w:val="005F705E"/>
    <w:rsid w:val="006054E1"/>
    <w:rsid w:val="006603EF"/>
    <w:rsid w:val="00687F92"/>
    <w:rsid w:val="00691AE4"/>
    <w:rsid w:val="006A530C"/>
    <w:rsid w:val="006A780A"/>
    <w:rsid w:val="00703D6C"/>
    <w:rsid w:val="007110D9"/>
    <w:rsid w:val="007174E7"/>
    <w:rsid w:val="007338EE"/>
    <w:rsid w:val="007540B1"/>
    <w:rsid w:val="0075766D"/>
    <w:rsid w:val="00775A4C"/>
    <w:rsid w:val="00786E67"/>
    <w:rsid w:val="007A15EE"/>
    <w:rsid w:val="007A36DC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56AF3"/>
    <w:rsid w:val="00856D45"/>
    <w:rsid w:val="008614F5"/>
    <w:rsid w:val="00867915"/>
    <w:rsid w:val="00884E74"/>
    <w:rsid w:val="00887219"/>
    <w:rsid w:val="008A1064"/>
    <w:rsid w:val="008B2264"/>
    <w:rsid w:val="008C35B6"/>
    <w:rsid w:val="008C5349"/>
    <w:rsid w:val="008E69EC"/>
    <w:rsid w:val="00904BAC"/>
    <w:rsid w:val="0091035E"/>
    <w:rsid w:val="0091167B"/>
    <w:rsid w:val="009174E0"/>
    <w:rsid w:val="00931723"/>
    <w:rsid w:val="0093470E"/>
    <w:rsid w:val="00937D35"/>
    <w:rsid w:val="0094011D"/>
    <w:rsid w:val="00952CD5"/>
    <w:rsid w:val="0096762B"/>
    <w:rsid w:val="00995247"/>
    <w:rsid w:val="009B4326"/>
    <w:rsid w:val="009F0EED"/>
    <w:rsid w:val="00A01C25"/>
    <w:rsid w:val="00A01D98"/>
    <w:rsid w:val="00A07BE2"/>
    <w:rsid w:val="00A5260C"/>
    <w:rsid w:val="00A63E31"/>
    <w:rsid w:val="00A663F6"/>
    <w:rsid w:val="00A66D72"/>
    <w:rsid w:val="00A8022B"/>
    <w:rsid w:val="00A91B8B"/>
    <w:rsid w:val="00AE00A2"/>
    <w:rsid w:val="00AF4241"/>
    <w:rsid w:val="00AF4E2D"/>
    <w:rsid w:val="00B16DCC"/>
    <w:rsid w:val="00B2153F"/>
    <w:rsid w:val="00B53276"/>
    <w:rsid w:val="00B74642"/>
    <w:rsid w:val="00B809BC"/>
    <w:rsid w:val="00B83E92"/>
    <w:rsid w:val="00B86E9B"/>
    <w:rsid w:val="00BB4BD7"/>
    <w:rsid w:val="00BB7E5A"/>
    <w:rsid w:val="00C03768"/>
    <w:rsid w:val="00C16B36"/>
    <w:rsid w:val="00C32A09"/>
    <w:rsid w:val="00C35F56"/>
    <w:rsid w:val="00C3672E"/>
    <w:rsid w:val="00C428AB"/>
    <w:rsid w:val="00C8180E"/>
    <w:rsid w:val="00C91C35"/>
    <w:rsid w:val="00CF7D75"/>
    <w:rsid w:val="00D42291"/>
    <w:rsid w:val="00D426DC"/>
    <w:rsid w:val="00D54EAE"/>
    <w:rsid w:val="00D96F0A"/>
    <w:rsid w:val="00DA667B"/>
    <w:rsid w:val="00DB703A"/>
    <w:rsid w:val="00DC312E"/>
    <w:rsid w:val="00DD376E"/>
    <w:rsid w:val="00DD3AD9"/>
    <w:rsid w:val="00DD50BD"/>
    <w:rsid w:val="00DE7B18"/>
    <w:rsid w:val="00DF3895"/>
    <w:rsid w:val="00E03AF9"/>
    <w:rsid w:val="00E36C6A"/>
    <w:rsid w:val="00E50151"/>
    <w:rsid w:val="00E912D2"/>
    <w:rsid w:val="00EA2EF5"/>
    <w:rsid w:val="00EA5131"/>
    <w:rsid w:val="00ED0207"/>
    <w:rsid w:val="00EE65CA"/>
    <w:rsid w:val="00EF06B8"/>
    <w:rsid w:val="00F014D4"/>
    <w:rsid w:val="00F536E6"/>
    <w:rsid w:val="00F907F6"/>
    <w:rsid w:val="00FB312E"/>
    <w:rsid w:val="00FD284F"/>
    <w:rsid w:val="00FF77C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4E0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74E0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74E0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  <w:style w:type="character" w:customStyle="1" w:styleId="CharChar4">
    <w:name w:val="Char Char4"/>
    <w:basedOn w:val="DefaultParagraphFont"/>
    <w:uiPriority w:val="99"/>
    <w:locked/>
    <w:rsid w:val="0003788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2853</Characters>
  <Application>Microsoft Macintosh Word</Application>
  <DocSecurity>0</DocSecurity>
  <Lines>23</Lines>
  <Paragraphs>5</Paragraphs>
  <ScaleCrop>false</ScaleCrop>
  <Company>SVVSD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3</cp:revision>
  <cp:lastPrinted>2011-01-06T16:42:00Z</cp:lastPrinted>
  <dcterms:created xsi:type="dcterms:W3CDTF">2011-06-03T03:03:00Z</dcterms:created>
  <dcterms:modified xsi:type="dcterms:W3CDTF">2011-06-03T03:04:00Z</dcterms:modified>
</cp:coreProperties>
</file>