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E7B18">
        <w:trPr>
          <w:trHeight w:val="432"/>
        </w:trPr>
        <w:tc>
          <w:tcPr>
            <w:tcW w:w="10908" w:type="dxa"/>
            <w:vAlign w:val="center"/>
          </w:tcPr>
          <w:p w:rsidR="00DE7B18" w:rsidRPr="00952CD5" w:rsidRDefault="00DE7B18"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Aesthetic Valuation</w:t>
            </w:r>
            <w:r w:rsidRPr="00952CD5">
              <w:rPr>
                <w:rFonts w:ascii="Arial" w:hAnsi="Arial" w:cs="Arial"/>
                <w:b/>
                <w:sz w:val="28"/>
                <w:szCs w:val="28"/>
              </w:rPr>
              <w:t xml:space="preserve"> of Music; Standard </w:t>
            </w:r>
            <w:r>
              <w:rPr>
                <w:rFonts w:ascii="Arial" w:hAnsi="Arial" w:cs="Arial"/>
                <w:b/>
                <w:sz w:val="28"/>
                <w:szCs w:val="28"/>
              </w:rPr>
              <w:t>4</w:t>
            </w:r>
          </w:p>
        </w:tc>
        <w:tc>
          <w:tcPr>
            <w:tcW w:w="2844" w:type="dxa"/>
            <w:vAlign w:val="center"/>
          </w:tcPr>
          <w:p w:rsidR="00DE7B18" w:rsidRPr="00952CD5" w:rsidRDefault="00DE7B18"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sidR="00B549DE">
              <w:rPr>
                <w:rFonts w:ascii="Arial" w:hAnsi="Arial" w:cs="Arial"/>
                <w:b/>
              </w:rPr>
              <w:t>2</w:t>
            </w:r>
          </w:p>
        </w:tc>
      </w:tr>
      <w:tr w:rsidR="00DE7B18">
        <w:trPr>
          <w:trHeight w:val="432"/>
        </w:trPr>
        <w:tc>
          <w:tcPr>
            <w:tcW w:w="13752" w:type="dxa"/>
            <w:gridSpan w:val="2"/>
            <w:vAlign w:val="center"/>
          </w:tcPr>
          <w:p w:rsidR="00DE7B18" w:rsidRPr="00952CD5" w:rsidRDefault="00DE7B18"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1</w:t>
            </w:r>
          </w:p>
        </w:tc>
      </w:tr>
    </w:tbl>
    <w:p w:rsidR="00DE7B18" w:rsidRPr="00687F92" w:rsidRDefault="00DE7B18">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DE7B18"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DE7B18" w:rsidRDefault="00DE7B18"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E7B18" w:rsidRPr="004771C0" w:rsidRDefault="00703D6C" w:rsidP="00C35F56">
            <w:pPr>
              <w:autoSpaceDE w:val="0"/>
              <w:autoSpaceDN w:val="0"/>
              <w:adjustRightInd w:val="0"/>
              <w:ind w:left="360"/>
              <w:rPr>
                <w:rFonts w:ascii="Verdana" w:hAnsi="Verdana" w:cs="Verdana"/>
              </w:rPr>
            </w:pPr>
            <w:r>
              <w:rPr>
                <w:rFonts w:ascii="Verdana" w:hAnsi="Verdana" w:cs="Verdana"/>
              </w:rPr>
              <w:t>4</w:t>
            </w:r>
            <w:r w:rsidR="00DE7B18">
              <w:rPr>
                <w:rFonts w:ascii="Verdana" w:hAnsi="Verdana" w:cs="Verdana"/>
              </w:rPr>
              <w:t>.  Aesthetic Valuation of Music</w:t>
            </w:r>
          </w:p>
        </w:tc>
      </w:tr>
      <w:tr w:rsidR="00DE7B18"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4A3925" w:rsidRPr="004A3925" w:rsidRDefault="004A3925" w:rsidP="00B5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Wingdings"/>
                <w:b/>
                <w:color w:val="000000"/>
                <w:sz w:val="28"/>
                <w:szCs w:val="19"/>
                <w:lang w:eastAsia="en-US"/>
              </w:rPr>
            </w:pPr>
            <w:r>
              <w:rPr>
                <w:rFonts w:ascii="Verdana" w:hAnsi="Verdana" w:cs="Wingdings"/>
                <w:b/>
                <w:color w:val="000000"/>
                <w:sz w:val="28"/>
                <w:szCs w:val="19"/>
                <w:lang w:eastAsia="en-US"/>
              </w:rPr>
              <w:t>Prepared Graduates:</w:t>
            </w:r>
          </w:p>
          <w:p w:rsidR="00B549DE" w:rsidRDefault="00B549DE" w:rsidP="004A3925">
            <w:pPr>
              <w:widowControl w:val="0"/>
              <w:tabs>
                <w:tab w:val="left" w:pos="4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27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Make informed, critical evaluations of the effectiveness of musical works and performances on the basis of</w:t>
            </w:r>
            <w:r w:rsidR="004A3925">
              <w:rPr>
                <w:rFonts w:ascii="Verdana" w:hAnsi="Verdana" w:cs="Verdana"/>
                <w:color w:val="000000"/>
                <w:lang w:eastAsia="en-US"/>
              </w:rPr>
              <w:t xml:space="preserve"> </w:t>
            </w:r>
            <w:r>
              <w:rPr>
                <w:rFonts w:ascii="Verdana" w:hAnsi="Verdana" w:cs="Verdana"/>
                <w:color w:val="000000"/>
                <w:lang w:eastAsia="en-US"/>
              </w:rPr>
              <w:t>aesthetic qualities, technical excellence, musicality, or convincing expression of feelings and ideas related to</w:t>
            </w:r>
            <w:r w:rsidR="004A3925">
              <w:rPr>
                <w:rFonts w:ascii="Verdana" w:hAnsi="Verdana" w:cs="Verdana"/>
                <w:color w:val="000000"/>
                <w:lang w:eastAsia="en-US"/>
              </w:rPr>
              <w:t xml:space="preserve"> </w:t>
            </w:r>
            <w:r>
              <w:rPr>
                <w:rFonts w:ascii="Verdana" w:hAnsi="Verdana" w:cs="Verdana"/>
                <w:color w:val="000000"/>
                <w:lang w:eastAsia="en-US"/>
              </w:rPr>
              <w:t>cultural and ideological associations</w:t>
            </w:r>
          </w:p>
          <w:p w:rsidR="00B549DE" w:rsidRDefault="00B549DE" w:rsidP="004A3925">
            <w:pPr>
              <w:widowControl w:val="0"/>
              <w:tabs>
                <w:tab w:val="left" w:pos="4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27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Develop a framework for making informed personal musical choices, and utilize that framework in the making and defending of musical choices</w:t>
            </w:r>
          </w:p>
          <w:p w:rsidR="00B549DE" w:rsidRDefault="00B549DE" w:rsidP="004A3925">
            <w:pPr>
              <w:widowControl w:val="0"/>
              <w:tabs>
                <w:tab w:val="left" w:pos="4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27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Demonstrate a nuanced understanding of aesthetics in music, appropriate to the particular features of given</w:t>
            </w:r>
            <w:r w:rsidR="004A3925">
              <w:rPr>
                <w:rFonts w:ascii="Verdana" w:hAnsi="Verdana" w:cs="Verdana"/>
                <w:color w:val="000000"/>
                <w:lang w:eastAsia="en-US"/>
              </w:rPr>
              <w:t xml:space="preserve"> </w:t>
            </w:r>
            <w:r>
              <w:rPr>
                <w:rFonts w:ascii="Verdana" w:hAnsi="Verdana" w:cs="Verdana"/>
                <w:color w:val="000000"/>
                <w:lang w:eastAsia="en-US"/>
              </w:rPr>
              <w:t>styles and genres, as it relates to the human experience in music</w:t>
            </w:r>
          </w:p>
          <w:p w:rsidR="00DE7B18" w:rsidRPr="00703D6C" w:rsidRDefault="00B549DE" w:rsidP="004A3925">
            <w:pPr>
              <w:widowControl w:val="0"/>
              <w:tabs>
                <w:tab w:val="left" w:pos="4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27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Know the place of each of the participants in the performance environment and practice appropriate audience</w:t>
            </w:r>
            <w:r w:rsidR="004A3925">
              <w:rPr>
                <w:rFonts w:ascii="Verdana" w:hAnsi="Verdana" w:cs="Verdana"/>
                <w:color w:val="000000"/>
                <w:lang w:eastAsia="en-US"/>
              </w:rPr>
              <w:t xml:space="preserve"> </w:t>
            </w:r>
            <w:r>
              <w:rPr>
                <w:rFonts w:ascii="Verdana" w:hAnsi="Verdana" w:cs="Verdana"/>
                <w:color w:val="000000"/>
                <w:lang w:eastAsia="en-US"/>
              </w:rPr>
              <w:t>participation; recognize the place and importance of music in life</w:t>
            </w:r>
          </w:p>
        </w:tc>
      </w:tr>
      <w:tr w:rsidR="00DE7B18" w:rsidRPr="000B39CE">
        <w:trPr>
          <w:gridAfter w:val="1"/>
          <w:wAfter w:w="516" w:type="dxa"/>
          <w:cantSplit/>
          <w:trHeight w:val="104"/>
          <w:tblHeader/>
          <w:jc w:val="center"/>
        </w:trPr>
        <w:tc>
          <w:tcPr>
            <w:tcW w:w="13860" w:type="dxa"/>
            <w:gridSpan w:val="2"/>
            <w:shd w:val="solid" w:color="auto" w:fill="auto"/>
          </w:tcPr>
          <w:p w:rsidR="00DE7B18" w:rsidRPr="000865CE" w:rsidRDefault="00DE7B18" w:rsidP="0003788E">
            <w:pPr>
              <w:pStyle w:val="ListParagraph"/>
              <w:ind w:left="0"/>
              <w:rPr>
                <w:rFonts w:ascii="Verdana" w:hAnsi="Verdana"/>
              </w:rPr>
            </w:pPr>
          </w:p>
        </w:tc>
      </w:tr>
      <w:tr w:rsidR="00DE7B18" w:rsidRPr="0091035E">
        <w:trPr>
          <w:gridAfter w:val="1"/>
          <w:wAfter w:w="516" w:type="dxa"/>
          <w:cantSplit/>
          <w:tblHeader/>
          <w:jc w:val="center"/>
        </w:trPr>
        <w:tc>
          <w:tcPr>
            <w:tcW w:w="13860" w:type="dxa"/>
            <w:gridSpan w:val="2"/>
          </w:tcPr>
          <w:p w:rsidR="00DE7B18" w:rsidRPr="0091035E" w:rsidRDefault="00DE7B18" w:rsidP="00B549DE">
            <w:pPr>
              <w:rPr>
                <w:rFonts w:ascii="Verdana" w:hAnsi="Verdana"/>
                <w:b/>
                <w:bCs/>
                <w:sz w:val="28"/>
                <w:szCs w:val="28"/>
              </w:rPr>
            </w:pPr>
            <w:r w:rsidRPr="0091035E">
              <w:rPr>
                <w:rFonts w:ascii="Verdana" w:hAnsi="Verdana"/>
                <w:b/>
                <w:bCs/>
                <w:sz w:val="28"/>
                <w:szCs w:val="28"/>
              </w:rPr>
              <w:t xml:space="preserve">Grade </w:t>
            </w:r>
            <w:r w:rsidR="00703D6C">
              <w:rPr>
                <w:rFonts w:ascii="Verdana" w:hAnsi="Verdana"/>
                <w:b/>
                <w:bCs/>
                <w:sz w:val="28"/>
                <w:szCs w:val="28"/>
              </w:rPr>
              <w:t xml:space="preserve">Level </w:t>
            </w:r>
            <w:r w:rsidR="00B549DE">
              <w:rPr>
                <w:rFonts w:ascii="Verdana" w:hAnsi="Verdana"/>
                <w:b/>
                <w:bCs/>
                <w:sz w:val="28"/>
                <w:szCs w:val="28"/>
              </w:rPr>
              <w:t>Expectation: 5</w:t>
            </w:r>
            <w:r w:rsidR="00B549DE" w:rsidRPr="00B549DE">
              <w:rPr>
                <w:rFonts w:ascii="Verdana" w:hAnsi="Verdana"/>
                <w:b/>
                <w:bCs/>
                <w:sz w:val="28"/>
                <w:szCs w:val="28"/>
                <w:vertAlign w:val="superscript"/>
              </w:rPr>
              <w:t>th</w:t>
            </w:r>
            <w:r w:rsidR="00B549DE">
              <w:rPr>
                <w:rFonts w:ascii="Verdana" w:hAnsi="Verdana"/>
                <w:b/>
                <w:bCs/>
                <w:sz w:val="28"/>
                <w:szCs w:val="28"/>
              </w:rPr>
              <w:t xml:space="preserve"> </w:t>
            </w:r>
            <w:r>
              <w:rPr>
                <w:rFonts w:ascii="Verdana" w:hAnsi="Verdana"/>
                <w:b/>
                <w:bCs/>
                <w:sz w:val="28"/>
                <w:szCs w:val="28"/>
              </w:rPr>
              <w:t>Grade</w:t>
            </w:r>
          </w:p>
        </w:tc>
      </w:tr>
      <w:tr w:rsidR="00DE7B18" w:rsidRPr="000B39CE">
        <w:trPr>
          <w:gridAfter w:val="1"/>
          <w:wAfter w:w="516" w:type="dxa"/>
          <w:cantSplit/>
          <w:tblHeader/>
          <w:jc w:val="center"/>
        </w:trPr>
        <w:tc>
          <w:tcPr>
            <w:tcW w:w="13860" w:type="dxa"/>
            <w:gridSpan w:val="2"/>
            <w:tcBorders>
              <w:bottom w:val="nil"/>
            </w:tcBorders>
            <w:shd w:val="clear" w:color="auto" w:fill="A6A6A6"/>
          </w:tcPr>
          <w:p w:rsidR="00DE7B18" w:rsidRPr="000B39CE" w:rsidRDefault="00DE7B18" w:rsidP="00C8180E">
            <w:pPr>
              <w:rPr>
                <w:rFonts w:ascii="Verdana" w:hAnsi="Verdana"/>
                <w:b/>
              </w:rPr>
            </w:pPr>
            <w:r w:rsidRPr="000B39CE">
              <w:rPr>
                <w:rFonts w:ascii="Verdana" w:hAnsi="Verdana"/>
                <w:b/>
              </w:rPr>
              <w:t>Concepts and skills students master:</w:t>
            </w:r>
          </w:p>
        </w:tc>
      </w:tr>
      <w:tr w:rsidR="00DE7B18" w:rsidRPr="00DB703A">
        <w:trPr>
          <w:cantSplit/>
          <w:jc w:val="center"/>
        </w:trPr>
        <w:tc>
          <w:tcPr>
            <w:tcW w:w="14376" w:type="dxa"/>
            <w:gridSpan w:val="3"/>
            <w:tcBorders>
              <w:top w:val="nil"/>
            </w:tcBorders>
            <w:shd w:val="clear" w:color="auto" w:fill="A6A6A6"/>
          </w:tcPr>
          <w:p w:rsidR="00B549DE" w:rsidRDefault="00B549DE" w:rsidP="00B549DE">
            <w:pPr>
              <w:pStyle w:val="ListParagraph"/>
              <w:numPr>
                <w:ilvl w:val="0"/>
                <w:numId w:val="16"/>
              </w:numPr>
              <w:rPr>
                <w:rFonts w:ascii="Verdana" w:hAnsi="Verdana" w:cs="Verdana"/>
                <w:color w:val="000000"/>
                <w:sz w:val="28"/>
                <w:szCs w:val="28"/>
              </w:rPr>
            </w:pPr>
            <w:r>
              <w:rPr>
                <w:rFonts w:ascii="Verdana" w:hAnsi="Verdana" w:cs="Verdana"/>
                <w:color w:val="000000"/>
                <w:sz w:val="28"/>
                <w:szCs w:val="28"/>
              </w:rPr>
              <w:t>Explain and defend personal preferences for specific music</w:t>
            </w:r>
          </w:p>
          <w:p w:rsidR="00B549DE" w:rsidRPr="00B549DE" w:rsidRDefault="00B549DE" w:rsidP="00B549DE">
            <w:pPr>
              <w:pStyle w:val="ListParagraph"/>
              <w:numPr>
                <w:ilvl w:val="0"/>
                <w:numId w:val="16"/>
              </w:numPr>
              <w:rPr>
                <w:rFonts w:ascii="Verdana" w:hAnsi="Verdana" w:cs="Verdana"/>
                <w:color w:val="000000"/>
                <w:sz w:val="28"/>
                <w:szCs w:val="28"/>
              </w:rPr>
            </w:pPr>
            <w:r w:rsidRPr="00B549DE">
              <w:rPr>
                <w:rFonts w:ascii="Verdana" w:hAnsi="Verdana" w:cs="Verdana"/>
                <w:color w:val="000000"/>
                <w:sz w:val="28"/>
                <w:szCs w:val="28"/>
              </w:rPr>
              <w:t>Articulate the meaning in music according to elements, aesthetic qualities, and human</w:t>
            </w:r>
          </w:p>
          <w:p w:rsidR="00DE7B18" w:rsidRPr="00B549DE" w:rsidRDefault="00B549DE" w:rsidP="00B549DE">
            <w:pPr>
              <w:rPr>
                <w:rFonts w:ascii="Verdana" w:hAnsi="Verdana"/>
                <w:bCs/>
                <w:sz w:val="28"/>
                <w:szCs w:val="28"/>
              </w:rPr>
            </w:pPr>
            <w:r>
              <w:rPr>
                <w:rFonts w:ascii="Verdana" w:hAnsi="Verdana" w:cs="Verdana"/>
                <w:color w:val="000000"/>
                <w:sz w:val="28"/>
                <w:szCs w:val="28"/>
                <w:lang w:eastAsia="en-US"/>
              </w:rPr>
              <w:t>responses</w:t>
            </w:r>
          </w:p>
        </w:tc>
      </w:tr>
      <w:tr w:rsidR="00DE7B18" w:rsidRPr="000B39CE">
        <w:trPr>
          <w:gridAfter w:val="1"/>
          <w:wAfter w:w="516" w:type="dxa"/>
          <w:cantSplit/>
          <w:jc w:val="center"/>
        </w:trPr>
        <w:tc>
          <w:tcPr>
            <w:tcW w:w="13860" w:type="dxa"/>
            <w:gridSpan w:val="2"/>
            <w:tcBorders>
              <w:top w:val="nil"/>
            </w:tcBorders>
            <w:shd w:val="clear" w:color="auto" w:fill="A6A6A6"/>
          </w:tcPr>
          <w:p w:rsidR="00DE7B18" w:rsidRPr="00C03768" w:rsidRDefault="00DE7B18" w:rsidP="004974A9">
            <w:pPr>
              <w:autoSpaceDE w:val="0"/>
              <w:autoSpaceDN w:val="0"/>
              <w:adjustRightInd w:val="0"/>
              <w:ind w:left="720"/>
              <w:rPr>
                <w:rFonts w:ascii="Verdana" w:hAnsi="Verdana" w:cs="Tahoma"/>
              </w:rPr>
            </w:pPr>
          </w:p>
        </w:tc>
      </w:tr>
      <w:tr w:rsidR="00DE7B18" w:rsidRPr="000B39CE">
        <w:trPr>
          <w:gridAfter w:val="1"/>
          <w:wAfter w:w="516" w:type="dxa"/>
          <w:cantSplit/>
          <w:jc w:val="center"/>
        </w:trPr>
        <w:tc>
          <w:tcPr>
            <w:tcW w:w="4860" w:type="dxa"/>
            <w:shd w:val="pct15" w:color="auto" w:fill="auto"/>
          </w:tcPr>
          <w:p w:rsidR="00DE7B18" w:rsidRPr="000B39CE" w:rsidRDefault="00DE7B18" w:rsidP="00C8180E">
            <w:pPr>
              <w:rPr>
                <w:rFonts w:ascii="Verdana" w:hAnsi="Verdana"/>
              </w:rPr>
            </w:pPr>
            <w:r w:rsidRPr="000B39CE">
              <w:rPr>
                <w:rFonts w:ascii="Verdana" w:hAnsi="Verdana"/>
                <w:b/>
              </w:rPr>
              <w:t>Evidence Outcomes</w:t>
            </w:r>
          </w:p>
        </w:tc>
        <w:tc>
          <w:tcPr>
            <w:tcW w:w="9000" w:type="dxa"/>
            <w:shd w:val="pct15" w:color="auto" w:fill="auto"/>
          </w:tcPr>
          <w:p w:rsidR="00DE7B18" w:rsidRPr="000B39CE" w:rsidRDefault="00DE7B18"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E7B18" w:rsidRPr="000B39CE">
        <w:trPr>
          <w:gridAfter w:val="1"/>
          <w:wAfter w:w="516" w:type="dxa"/>
          <w:cantSplit/>
          <w:jc w:val="center"/>
        </w:trPr>
        <w:tc>
          <w:tcPr>
            <w:tcW w:w="4860" w:type="dxa"/>
            <w:vMerge w:val="restart"/>
          </w:tcPr>
          <w:p w:rsidR="00DE7B18" w:rsidRPr="000B39CE" w:rsidRDefault="00DE7B18" w:rsidP="00A5260C">
            <w:pPr>
              <w:rPr>
                <w:rFonts w:ascii="Verdana" w:hAnsi="Verdana"/>
                <w:b/>
                <w:sz w:val="20"/>
                <w:szCs w:val="20"/>
              </w:rPr>
            </w:pPr>
            <w:r w:rsidRPr="000B39CE">
              <w:rPr>
                <w:rFonts w:ascii="Verdana" w:hAnsi="Verdana"/>
                <w:b/>
                <w:sz w:val="20"/>
                <w:szCs w:val="20"/>
              </w:rPr>
              <w:t>Students can:</w:t>
            </w:r>
          </w:p>
          <w:p w:rsidR="00DE7B18" w:rsidRPr="000B39CE" w:rsidRDefault="00DE7B18" w:rsidP="00A5260C">
            <w:pPr>
              <w:autoSpaceDE w:val="0"/>
              <w:autoSpaceDN w:val="0"/>
              <w:adjustRightInd w:val="0"/>
              <w:rPr>
                <w:rFonts w:ascii="Verdana" w:hAnsi="Verdana" w:cs="Verdana"/>
                <w:sz w:val="10"/>
                <w:szCs w:val="10"/>
              </w:rPr>
            </w:pPr>
          </w:p>
          <w:p w:rsidR="00B549DE" w:rsidRPr="00B549DE" w:rsidRDefault="00B549DE" w:rsidP="00B86E9B">
            <w:pPr>
              <w:pStyle w:val="ListParagraph"/>
              <w:numPr>
                <w:ilvl w:val="0"/>
                <w:numId w:val="3"/>
              </w:numPr>
              <w:rPr>
                <w:rFonts w:ascii="Verdana" w:hAnsi="Verdana"/>
                <w:sz w:val="20"/>
                <w:szCs w:val="20"/>
              </w:rPr>
            </w:pPr>
            <w:r>
              <w:rPr>
                <w:rFonts w:ascii="Arial" w:hAnsi="Arial" w:cs="Arial"/>
                <w:sz w:val="26"/>
                <w:szCs w:val="26"/>
              </w:rPr>
              <w:t>Develop and apply appropriate musical and nonmusical criteria to support personal preferences for specific musical styles and works 1.a</w:t>
            </w:r>
          </w:p>
          <w:p w:rsidR="00B549DE" w:rsidRPr="00B549DE" w:rsidRDefault="00B549DE" w:rsidP="00B86E9B">
            <w:pPr>
              <w:pStyle w:val="ListParagraph"/>
              <w:numPr>
                <w:ilvl w:val="0"/>
                <w:numId w:val="3"/>
              </w:numPr>
              <w:rPr>
                <w:rFonts w:ascii="Verdana" w:hAnsi="Verdana"/>
                <w:sz w:val="20"/>
                <w:szCs w:val="20"/>
              </w:rPr>
            </w:pPr>
            <w:r>
              <w:rPr>
                <w:rFonts w:ascii="Arial" w:hAnsi="Arial" w:cs="Arial"/>
                <w:sz w:val="26"/>
                <w:szCs w:val="26"/>
              </w:rPr>
              <w:t>Discuss the difference between preference for and quality of musical works 1.b</w:t>
            </w:r>
          </w:p>
          <w:p w:rsidR="00DE7B18" w:rsidRPr="006A530C" w:rsidRDefault="00B549DE" w:rsidP="00B86E9B">
            <w:pPr>
              <w:pStyle w:val="ListParagraph"/>
              <w:numPr>
                <w:ilvl w:val="0"/>
                <w:numId w:val="3"/>
              </w:numPr>
              <w:rPr>
                <w:rFonts w:ascii="Verdana" w:hAnsi="Verdana"/>
                <w:sz w:val="20"/>
                <w:szCs w:val="20"/>
              </w:rPr>
            </w:pPr>
            <w:r>
              <w:rPr>
                <w:rFonts w:ascii="Arial" w:hAnsi="Arial" w:cs="Arial"/>
                <w:sz w:val="26"/>
                <w:szCs w:val="26"/>
              </w:rPr>
              <w:t>Discuss criteria used to make evaluations of musical works and performances 2.d</w:t>
            </w:r>
          </w:p>
        </w:tc>
        <w:tc>
          <w:tcPr>
            <w:tcW w:w="9000" w:type="dxa"/>
          </w:tcPr>
          <w:p w:rsidR="00B549DE" w:rsidRPr="00B549DE" w:rsidRDefault="00DE7B18" w:rsidP="00B549DE">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Does an individual preference for a musical work or performance make it good or bad?</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What is the correlation between liking a work and the importance of a work?</w:t>
            </w:r>
          </w:p>
          <w:p w:rsidR="00B549DE" w:rsidRP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Why are many classical works, jazz works and performances, and Broadway songs considered to be exceptional examples of American and Western music even though they do not share the popularity of contemporary "top 40" or other contemporary styles?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What role does music play in various cultures?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does music affect emotions and feelings in general?</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 the elements of music affect the way music is classified into various styles?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In what general ways do people evaluate music works and performances?</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B74642" w:rsidRDefault="00B74642" w:rsidP="00A07BE2">
            <w:pPr>
              <w:widowControl w:val="0"/>
              <w:tabs>
                <w:tab w:val="left" w:pos="220"/>
                <w:tab w:val="left" w:pos="492"/>
              </w:tabs>
              <w:autoSpaceDE w:val="0"/>
              <w:autoSpaceDN w:val="0"/>
              <w:adjustRightInd w:val="0"/>
              <w:ind w:left="720"/>
              <w:rPr>
                <w:rFonts w:ascii="Arial" w:hAnsi="Arial" w:cs="Arial"/>
                <w:sz w:val="26"/>
                <w:szCs w:val="26"/>
                <w:lang w:eastAsia="en-US"/>
              </w:rPr>
            </w:pPr>
          </w:p>
          <w:p w:rsidR="00DE7B18" w:rsidRPr="004357F0" w:rsidRDefault="00DE7B18" w:rsidP="00AE00A2">
            <w:pPr>
              <w:ind w:left="360"/>
              <w:rPr>
                <w:rFonts w:ascii="Verdana" w:hAnsi="Verdana"/>
                <w:b/>
                <w:sz w:val="16"/>
                <w:szCs w:val="16"/>
              </w:rPr>
            </w:pPr>
          </w:p>
        </w:tc>
      </w:tr>
      <w:tr w:rsidR="00DE7B18" w:rsidRPr="000B39CE">
        <w:trPr>
          <w:gridAfter w:val="1"/>
          <w:wAfter w:w="516" w:type="dxa"/>
          <w:cantSplit/>
          <w:jc w:val="center"/>
        </w:trPr>
        <w:tc>
          <w:tcPr>
            <w:tcW w:w="4860" w:type="dxa"/>
            <w:vMerge/>
          </w:tcPr>
          <w:p w:rsidR="00DE7B18" w:rsidRPr="000B39CE" w:rsidRDefault="00DE7B18" w:rsidP="00C8180E">
            <w:pPr>
              <w:rPr>
                <w:rFonts w:ascii="Verdana" w:hAnsi="Verdana"/>
                <w:b/>
              </w:rPr>
            </w:pPr>
          </w:p>
        </w:tc>
        <w:tc>
          <w:tcPr>
            <w:tcW w:w="9000" w:type="dxa"/>
          </w:tcPr>
          <w:p w:rsidR="00B549DE" w:rsidRPr="00B549DE" w:rsidRDefault="00DE7B18" w:rsidP="00B549DE">
            <w:pPr>
              <w:ind w:left="762" w:hanging="762"/>
              <w:rPr>
                <w:rFonts w:ascii="Verdana" w:hAnsi="Verdana" w:cs="Arial"/>
                <w:b/>
                <w:sz w:val="20"/>
                <w:szCs w:val="20"/>
              </w:rPr>
            </w:pPr>
            <w:r w:rsidRPr="000B39CE">
              <w:rPr>
                <w:rFonts w:ascii="Verdana" w:hAnsi="Verdana" w:cs="Arial"/>
                <w:b/>
                <w:sz w:val="20"/>
                <w:szCs w:val="20"/>
              </w:rPr>
              <w:t>Relevance and Application:</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Developing a series of questions regarding musical preferences allows individuals to discern why they prefer certain styles of music and test their effectiveness.</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Surveying the listening preferences of consumers provide a basis of musical and nonmusical information, and the use of music terminology in a local community.</w:t>
            </w:r>
          </w:p>
          <w:p w:rsidR="00B549DE" w:rsidRP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Comparing musical works that are specific to a given culture provides insight into the evaluation of musical elements and extra-musical aspects used within a culture.</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The number of radio stations in an area broadcasting a particular style of music can give insight to the demographic information of the area and its musical preferences.</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Identifying musical works that are specific to a given culture in comparison to those of another builds a fundamental respect for the differences of others.</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B74642" w:rsidRPr="00A07BE2" w:rsidRDefault="00B74642" w:rsidP="00A07BE2">
            <w:pPr>
              <w:widowControl w:val="0"/>
              <w:tabs>
                <w:tab w:val="left" w:pos="220"/>
                <w:tab w:val="left" w:pos="720"/>
              </w:tabs>
              <w:autoSpaceDE w:val="0"/>
              <w:autoSpaceDN w:val="0"/>
              <w:adjustRightInd w:val="0"/>
              <w:rPr>
                <w:rFonts w:ascii="Arial" w:hAnsi="Arial" w:cs="Arial"/>
                <w:sz w:val="26"/>
                <w:szCs w:val="26"/>
                <w:lang w:eastAsia="en-US"/>
              </w:rPr>
            </w:pPr>
          </w:p>
          <w:p w:rsidR="00DE7B18" w:rsidRPr="004357F0" w:rsidRDefault="00DE7B18" w:rsidP="00B74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tc>
      </w:tr>
      <w:tr w:rsidR="00DE7B18" w:rsidRPr="000B39CE">
        <w:trPr>
          <w:gridAfter w:val="1"/>
          <w:wAfter w:w="516" w:type="dxa"/>
          <w:jc w:val="center"/>
        </w:trPr>
        <w:tc>
          <w:tcPr>
            <w:tcW w:w="4860" w:type="dxa"/>
            <w:vMerge/>
          </w:tcPr>
          <w:p w:rsidR="00DE7B18" w:rsidRPr="000B39CE" w:rsidRDefault="00DE7B18" w:rsidP="00C8180E">
            <w:pPr>
              <w:rPr>
                <w:rFonts w:ascii="Verdana" w:hAnsi="Verdana"/>
                <w:b/>
              </w:rPr>
            </w:pPr>
          </w:p>
        </w:tc>
        <w:tc>
          <w:tcPr>
            <w:tcW w:w="9000" w:type="dxa"/>
          </w:tcPr>
          <w:p w:rsidR="00B549DE" w:rsidRPr="00B549DE" w:rsidRDefault="00DE7B18" w:rsidP="00B549DE">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Musical preferences are developed through individual experiences and are also subject to personality traits.</w:t>
            </w:r>
          </w:p>
          <w:p w:rsidR="00B549DE" w:rsidRP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A broad musical experience and comprehensive music vocabulary strengthen one's ability to objectively consider and articulate ideas about music.</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Music is an art that expresses general thoughts and feelings; various musical examples will evoke varying general individual responses.</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The success of a musical work or performance can be evaluated according to its effectiveness in its formal properties, content, and context.</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A07BE2" w:rsidRDefault="00A07BE2" w:rsidP="00A07BE2">
            <w:pPr>
              <w:widowControl w:val="0"/>
              <w:tabs>
                <w:tab w:val="left" w:pos="220"/>
                <w:tab w:val="left" w:pos="720"/>
              </w:tabs>
              <w:autoSpaceDE w:val="0"/>
              <w:autoSpaceDN w:val="0"/>
              <w:adjustRightInd w:val="0"/>
              <w:ind w:left="492"/>
              <w:rPr>
                <w:rFonts w:ascii="Arial" w:hAnsi="Arial" w:cs="Arial"/>
                <w:sz w:val="26"/>
                <w:szCs w:val="26"/>
                <w:lang w:eastAsia="en-US"/>
              </w:rPr>
            </w:pPr>
          </w:p>
          <w:p w:rsidR="00DE7B18" w:rsidRPr="00D54EAE" w:rsidRDefault="00DE7B18" w:rsidP="00B86E9B">
            <w:pPr>
              <w:pStyle w:val="ListParagraph"/>
              <w:rPr>
                <w:rFonts w:ascii="Verdana" w:hAnsi="Verdana" w:cs="Arial"/>
                <w:sz w:val="20"/>
                <w:szCs w:val="20"/>
              </w:rPr>
            </w:pPr>
          </w:p>
          <w:p w:rsidR="00DE7B18" w:rsidRPr="00D54EAE" w:rsidRDefault="00DE7B18" w:rsidP="00B86E9B">
            <w:pPr>
              <w:pStyle w:val="ListParagraph"/>
              <w:ind w:left="360"/>
              <w:rPr>
                <w:rFonts w:ascii="Verdana" w:hAnsi="Verdana" w:cs="Arial"/>
                <w:sz w:val="20"/>
                <w:szCs w:val="20"/>
              </w:rPr>
            </w:pPr>
          </w:p>
          <w:p w:rsidR="00DE7B18" w:rsidRPr="000B39CE" w:rsidRDefault="00DE7B18" w:rsidP="00AE00A2">
            <w:pPr>
              <w:ind w:left="360"/>
              <w:rPr>
                <w:rFonts w:ascii="Verdana" w:hAnsi="Verdana"/>
                <w:b/>
              </w:rPr>
            </w:pPr>
          </w:p>
        </w:tc>
      </w:tr>
      <w:tr w:rsidR="00917624"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917624" w:rsidRPr="0037297B" w:rsidRDefault="00917624" w:rsidP="00B21668">
            <w:pPr>
              <w:ind w:left="312"/>
              <w:rPr>
                <w:rFonts w:ascii="Verdana" w:hAnsi="Verdana"/>
                <w:b/>
                <w:bCs/>
              </w:rPr>
            </w:pPr>
            <w:r w:rsidRPr="0037297B">
              <w:rPr>
                <w:rFonts w:ascii="Verdana" w:hAnsi="Verdana"/>
                <w:b/>
                <w:bCs/>
              </w:rPr>
              <w:t>Essential Vocabulary</w:t>
            </w:r>
          </w:p>
        </w:tc>
      </w:tr>
      <w:tr w:rsidR="00917624"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917624" w:rsidRPr="0037297B" w:rsidRDefault="00775FE4" w:rsidP="00A91B8B">
            <w:pPr>
              <w:numPr>
                <w:ilvl w:val="0"/>
                <w:numId w:val="1"/>
              </w:numPr>
              <w:spacing w:before="120" w:after="120"/>
              <w:rPr>
                <w:rFonts w:ascii="Verdana" w:hAnsi="Verdana"/>
              </w:rPr>
            </w:pPr>
            <w:r w:rsidRPr="00775FE4">
              <w:rPr>
                <w:rFonts w:ascii="Verdana" w:hAnsi="Verdana"/>
              </w:rPr>
              <w:t>concert master, conductor, Longmont symphony, orchestra, podium, score</w:t>
            </w:r>
          </w:p>
        </w:tc>
      </w:tr>
      <w:tr w:rsidR="00917624"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9176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917624" w:rsidRPr="0037297B" w:rsidRDefault="00917624" w:rsidP="00C1592B">
                  <w:pPr>
                    <w:ind w:firstLine="300"/>
                    <w:rPr>
                      <w:rFonts w:ascii="Verdana" w:hAnsi="Verdana"/>
                      <w:b/>
                      <w:szCs w:val="20"/>
                    </w:rPr>
                  </w:pPr>
                  <w:r w:rsidRPr="0037297B">
                    <w:rPr>
                      <w:rFonts w:ascii="Verdana" w:hAnsi="Verdana"/>
                      <w:b/>
                      <w:szCs w:val="20"/>
                    </w:rPr>
                    <w:t>Assessments</w:t>
                  </w:r>
                </w:p>
              </w:tc>
            </w:tr>
            <w:tr w:rsidR="009176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917624" w:rsidRPr="0037297B" w:rsidRDefault="00917624" w:rsidP="00A91B8B">
                  <w:pPr>
                    <w:numPr>
                      <w:ilvl w:val="0"/>
                      <w:numId w:val="1"/>
                    </w:numPr>
                    <w:spacing w:before="120" w:after="120"/>
                    <w:rPr>
                      <w:rFonts w:ascii="Verdana" w:hAnsi="Verdana"/>
                    </w:rPr>
                  </w:pPr>
                  <w:r w:rsidRPr="0037297B">
                    <w:rPr>
                      <w:rFonts w:ascii="Verdana" w:hAnsi="Verdana"/>
                      <w:sz w:val="22"/>
                      <w:szCs w:val="22"/>
                    </w:rPr>
                    <w:t xml:space="preserve"> TBD</w:t>
                  </w:r>
                </w:p>
              </w:tc>
            </w:tr>
            <w:tr w:rsidR="009176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917624" w:rsidRPr="0037297B" w:rsidRDefault="00917624" w:rsidP="00C1592B">
                  <w:pPr>
                    <w:ind w:firstLine="300"/>
                    <w:rPr>
                      <w:rFonts w:ascii="Verdana" w:hAnsi="Verdana"/>
                      <w:b/>
                      <w:szCs w:val="20"/>
                    </w:rPr>
                  </w:pPr>
                  <w:r w:rsidRPr="0037297B">
                    <w:rPr>
                      <w:rFonts w:ascii="Verdana" w:hAnsi="Verdana"/>
                      <w:b/>
                      <w:szCs w:val="20"/>
                    </w:rPr>
                    <w:t>Instructional Resources</w:t>
                  </w:r>
                </w:p>
              </w:tc>
            </w:tr>
            <w:tr w:rsidR="0091762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917624" w:rsidRPr="0037297B" w:rsidRDefault="00917624" w:rsidP="00A91B8B">
                  <w:pPr>
                    <w:numPr>
                      <w:ilvl w:val="0"/>
                      <w:numId w:val="1"/>
                    </w:numPr>
                    <w:spacing w:before="120" w:after="120"/>
                    <w:rPr>
                      <w:rFonts w:ascii="Verdana" w:hAnsi="Verdana"/>
                    </w:rPr>
                  </w:pPr>
                  <w:r>
                    <w:rPr>
                      <w:rFonts w:ascii="Verdana" w:hAnsi="Verdana"/>
                      <w:sz w:val="22"/>
                      <w:szCs w:val="22"/>
                    </w:rPr>
                    <w:t>Spotlight on Music, Grade 5</w:t>
                  </w:r>
                  <w:r w:rsidRPr="0037297B">
                    <w:rPr>
                      <w:rFonts w:ascii="Verdana" w:hAnsi="Verdana"/>
                      <w:sz w:val="22"/>
                      <w:szCs w:val="22"/>
                    </w:rPr>
                    <w:t>, teacher’s book; CD</w:t>
                  </w:r>
                  <w:r w:rsidR="00775FE4">
                    <w:rPr>
                      <w:rFonts w:ascii="Verdana" w:hAnsi="Verdana"/>
                      <w:sz w:val="22"/>
                      <w:szCs w:val="22"/>
                    </w:rPr>
                    <w:t>; LSO field trip</w:t>
                  </w:r>
                </w:p>
              </w:tc>
            </w:tr>
          </w:tbl>
          <w:p w:rsidR="00917624" w:rsidRPr="0037297B" w:rsidRDefault="00917624" w:rsidP="00C8180E">
            <w:pPr>
              <w:rPr>
                <w:rFonts w:ascii="Verdana" w:hAnsi="Verdana"/>
                <w:b/>
                <w:szCs w:val="20"/>
              </w:rPr>
            </w:pPr>
          </w:p>
        </w:tc>
      </w:tr>
    </w:tbl>
    <w:p w:rsidR="00DE7B18" w:rsidRPr="006A780A" w:rsidRDefault="00DE7B18" w:rsidP="0081375C"/>
    <w:sectPr w:rsidR="00DE7B18"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42" w:rsidRDefault="00B74642">
      <w:r>
        <w:separator/>
      </w:r>
    </w:p>
  </w:endnote>
  <w:endnote w:type="continuationSeparator" w:id="0">
    <w:p w:rsidR="00B74642" w:rsidRDefault="00B7464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42" w:rsidRPr="005D6474" w:rsidRDefault="00B74642"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ED693D" w:rsidRPr="005D6474">
      <w:rPr>
        <w:sz w:val="22"/>
        <w:szCs w:val="22"/>
      </w:rPr>
      <w:fldChar w:fldCharType="begin"/>
    </w:r>
    <w:r w:rsidRPr="005D6474">
      <w:rPr>
        <w:sz w:val="22"/>
        <w:szCs w:val="22"/>
      </w:rPr>
      <w:instrText xml:space="preserve"> PAGE </w:instrText>
    </w:r>
    <w:r w:rsidR="00ED693D" w:rsidRPr="005D6474">
      <w:rPr>
        <w:sz w:val="22"/>
        <w:szCs w:val="22"/>
      </w:rPr>
      <w:fldChar w:fldCharType="separate"/>
    </w:r>
    <w:r w:rsidR="00775FE4">
      <w:rPr>
        <w:noProof/>
        <w:sz w:val="22"/>
        <w:szCs w:val="22"/>
      </w:rPr>
      <w:t>4</w:t>
    </w:r>
    <w:r w:rsidR="00ED693D" w:rsidRPr="005D6474">
      <w:rPr>
        <w:sz w:val="22"/>
        <w:szCs w:val="22"/>
      </w:rPr>
      <w:fldChar w:fldCharType="end"/>
    </w:r>
    <w:r w:rsidRPr="005D6474">
      <w:rPr>
        <w:sz w:val="22"/>
        <w:szCs w:val="22"/>
      </w:rPr>
      <w:t xml:space="preserve"> of </w:t>
    </w:r>
    <w:r w:rsidR="00ED693D" w:rsidRPr="005D6474">
      <w:rPr>
        <w:sz w:val="22"/>
        <w:szCs w:val="22"/>
      </w:rPr>
      <w:fldChar w:fldCharType="begin"/>
    </w:r>
    <w:r w:rsidRPr="005D6474">
      <w:rPr>
        <w:sz w:val="22"/>
        <w:szCs w:val="22"/>
      </w:rPr>
      <w:instrText xml:space="preserve"> NUMPAGES </w:instrText>
    </w:r>
    <w:r w:rsidR="00ED693D" w:rsidRPr="005D6474">
      <w:rPr>
        <w:sz w:val="22"/>
        <w:szCs w:val="22"/>
      </w:rPr>
      <w:fldChar w:fldCharType="separate"/>
    </w:r>
    <w:r w:rsidR="00775FE4">
      <w:rPr>
        <w:noProof/>
        <w:sz w:val="22"/>
        <w:szCs w:val="22"/>
      </w:rPr>
      <w:t>4</w:t>
    </w:r>
    <w:r w:rsidR="00ED693D"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42" w:rsidRDefault="00B74642">
      <w:r>
        <w:separator/>
      </w:r>
    </w:p>
  </w:footnote>
  <w:footnote w:type="continuationSeparator" w:id="0">
    <w:p w:rsidR="00B74642" w:rsidRDefault="00B746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B74642">
      <w:tc>
        <w:tcPr>
          <w:tcW w:w="4584" w:type="dxa"/>
          <w:vAlign w:val="center"/>
        </w:tcPr>
        <w:p w:rsidR="00B74642" w:rsidRPr="00952CD5" w:rsidRDefault="00B74642"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B74642" w:rsidRPr="00952CD5" w:rsidRDefault="00B74642" w:rsidP="00952CD5">
          <w:pPr>
            <w:jc w:val="center"/>
            <w:rPr>
              <w:rFonts w:ascii="Arial" w:hAnsi="Arial" w:cs="Arial"/>
              <w:b/>
              <w:bCs/>
              <w:color w:val="111111"/>
              <w:sz w:val="36"/>
              <w:szCs w:val="36"/>
            </w:rPr>
          </w:pPr>
          <w:r>
            <w:rPr>
              <w:rFonts w:ascii="Arial" w:hAnsi="Arial" w:cs="Arial"/>
              <w:b/>
              <w:bCs/>
              <w:color w:val="111111"/>
              <w:sz w:val="36"/>
              <w:szCs w:val="36"/>
            </w:rPr>
            <w:t>Aesthetic Valuation</w:t>
          </w:r>
          <w:r w:rsidRPr="00952CD5">
            <w:rPr>
              <w:rFonts w:ascii="Arial" w:hAnsi="Arial" w:cs="Arial"/>
              <w:b/>
              <w:bCs/>
              <w:color w:val="111111"/>
              <w:sz w:val="36"/>
              <w:szCs w:val="36"/>
            </w:rPr>
            <w:t xml:space="preserve"> of Music</w:t>
          </w:r>
        </w:p>
        <w:p w:rsidR="00B74642" w:rsidRPr="00952CD5" w:rsidRDefault="00B74642" w:rsidP="00952CD5">
          <w:pPr>
            <w:jc w:val="center"/>
            <w:rPr>
              <w:rFonts w:ascii="Arial" w:hAnsi="Arial" w:cs="Arial"/>
              <w:b/>
              <w:bCs/>
              <w:color w:val="111111"/>
              <w:sz w:val="36"/>
              <w:szCs w:val="36"/>
            </w:rPr>
          </w:pPr>
          <w:r>
            <w:rPr>
              <w:rFonts w:ascii="Arial" w:hAnsi="Arial" w:cs="Arial"/>
              <w:b/>
              <w:bCs/>
              <w:color w:val="111111"/>
              <w:sz w:val="36"/>
              <w:szCs w:val="36"/>
            </w:rPr>
            <w:t>Standard 4</w:t>
          </w:r>
        </w:p>
        <w:p w:rsidR="00B74642" w:rsidRPr="00952CD5" w:rsidRDefault="00B74642" w:rsidP="00043D4A">
          <w:pPr>
            <w:rPr>
              <w:rFonts w:ascii="Arial" w:hAnsi="Arial" w:cs="Arial"/>
              <w:b/>
              <w:bCs/>
              <w:color w:val="111111"/>
              <w:sz w:val="36"/>
              <w:szCs w:val="36"/>
            </w:rPr>
          </w:pPr>
        </w:p>
      </w:tc>
      <w:tc>
        <w:tcPr>
          <w:tcW w:w="4584" w:type="dxa"/>
          <w:vAlign w:val="center"/>
        </w:tcPr>
        <w:p w:rsidR="00B74642" w:rsidRPr="00952CD5" w:rsidRDefault="00B549DE" w:rsidP="00952CD5">
          <w:pPr>
            <w:jc w:val="right"/>
            <w:rPr>
              <w:rFonts w:ascii="Arial" w:hAnsi="Arial" w:cs="Arial"/>
              <w:b/>
              <w:bCs/>
              <w:color w:val="111111"/>
              <w:sz w:val="28"/>
              <w:szCs w:val="28"/>
            </w:rPr>
          </w:pPr>
          <w:r>
            <w:rPr>
              <w:rFonts w:ascii="Arial" w:hAnsi="Arial" w:cs="Arial"/>
              <w:b/>
              <w:bCs/>
              <w:color w:val="111111"/>
              <w:sz w:val="28"/>
              <w:szCs w:val="28"/>
            </w:rPr>
            <w:t>Fif</w:t>
          </w:r>
          <w:r w:rsidR="00B74642">
            <w:rPr>
              <w:rFonts w:ascii="Arial" w:hAnsi="Arial" w:cs="Arial"/>
              <w:b/>
              <w:bCs/>
              <w:color w:val="111111"/>
              <w:sz w:val="28"/>
              <w:szCs w:val="28"/>
            </w:rPr>
            <w:t>th</w:t>
          </w:r>
          <w:r w:rsidR="00B74642" w:rsidRPr="00952CD5">
            <w:rPr>
              <w:rFonts w:ascii="Arial" w:hAnsi="Arial" w:cs="Arial"/>
              <w:b/>
              <w:bCs/>
              <w:color w:val="111111"/>
              <w:sz w:val="28"/>
              <w:szCs w:val="28"/>
            </w:rPr>
            <w:t xml:space="preserve"> Grade Music</w:t>
          </w:r>
        </w:p>
        <w:p w:rsidR="00B74642" w:rsidRPr="00952CD5" w:rsidRDefault="00B74642" w:rsidP="00952CD5">
          <w:pPr>
            <w:jc w:val="right"/>
            <w:rPr>
              <w:rFonts w:ascii="Arial" w:hAnsi="Arial" w:cs="Arial"/>
              <w:bCs/>
              <w:color w:val="111111"/>
            </w:rPr>
          </w:pPr>
          <w:r w:rsidRPr="00952CD5">
            <w:rPr>
              <w:rFonts w:ascii="Arial" w:hAnsi="Arial" w:cs="Arial"/>
              <w:bCs/>
              <w:color w:val="111111"/>
              <w:sz w:val="22"/>
              <w:szCs w:val="22"/>
            </w:rPr>
            <w:t>2011-2012</w:t>
          </w:r>
        </w:p>
      </w:tc>
    </w:tr>
  </w:tbl>
  <w:p w:rsidR="00B74642" w:rsidRDefault="00B7464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06D5B"/>
    <w:multiLevelType w:val="hybridMultilevel"/>
    <w:tmpl w:val="F8B6120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E765BA"/>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D4882"/>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34AC0"/>
    <w:multiLevelType w:val="hybridMultilevel"/>
    <w:tmpl w:val="E82EDE88"/>
    <w:lvl w:ilvl="0" w:tplc="0000000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1D53BE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92276"/>
    <w:multiLevelType w:val="hybridMultilevel"/>
    <w:tmpl w:val="06B83002"/>
    <w:lvl w:ilvl="0" w:tplc="0000000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C5EC0"/>
    <w:multiLevelType w:val="hybridMultilevel"/>
    <w:tmpl w:val="38242336"/>
    <w:lvl w:ilvl="0" w:tplc="960E228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E18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D18B2"/>
    <w:multiLevelType w:val="hybridMultilevel"/>
    <w:tmpl w:val="BC6E4A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B025E"/>
    <w:multiLevelType w:val="multilevel"/>
    <w:tmpl w:val="BC6E4ADE"/>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992804"/>
    <w:multiLevelType w:val="hybridMultilevel"/>
    <w:tmpl w:val="86E2F94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B1AE3"/>
    <w:multiLevelType w:val="hybridMultilevel"/>
    <w:tmpl w:val="A67EADE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45E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A269F8"/>
    <w:multiLevelType w:val="hybridMultilevel"/>
    <w:tmpl w:val="D6BA15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5D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50D6F9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986DE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391492"/>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E122C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1"/>
  </w:num>
  <w:num w:numId="4">
    <w:abstractNumId w:val="0"/>
  </w:num>
  <w:num w:numId="5">
    <w:abstractNumId w:val="14"/>
  </w:num>
  <w:num w:numId="6">
    <w:abstractNumId w:val="9"/>
  </w:num>
  <w:num w:numId="7">
    <w:abstractNumId w:val="10"/>
  </w:num>
  <w:num w:numId="8">
    <w:abstractNumId w:val="3"/>
  </w:num>
  <w:num w:numId="9">
    <w:abstractNumId w:val="13"/>
  </w:num>
  <w:num w:numId="10">
    <w:abstractNumId w:val="15"/>
  </w:num>
  <w:num w:numId="11">
    <w:abstractNumId w:val="6"/>
  </w:num>
  <w:num w:numId="12">
    <w:abstractNumId w:val="21"/>
  </w:num>
  <w:num w:numId="13">
    <w:abstractNumId w:val="4"/>
  </w:num>
  <w:num w:numId="14">
    <w:abstractNumId w:val="8"/>
  </w:num>
  <w:num w:numId="15">
    <w:abstractNumId w:val="18"/>
  </w:num>
  <w:num w:numId="16">
    <w:abstractNumId w:val="7"/>
  </w:num>
  <w:num w:numId="17">
    <w:abstractNumId w:val="5"/>
  </w:num>
  <w:num w:numId="18">
    <w:abstractNumId w:val="12"/>
  </w:num>
  <w:num w:numId="19">
    <w:abstractNumId w:val="2"/>
  </w:num>
  <w:num w:numId="20">
    <w:abstractNumId w:val="20"/>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D428D"/>
    <w:rsid w:val="00013259"/>
    <w:rsid w:val="00033A0F"/>
    <w:rsid w:val="0003788E"/>
    <w:rsid w:val="00040566"/>
    <w:rsid w:val="00043D4A"/>
    <w:rsid w:val="00085461"/>
    <w:rsid w:val="000865CE"/>
    <w:rsid w:val="00093EDF"/>
    <w:rsid w:val="00095957"/>
    <w:rsid w:val="000B39CE"/>
    <w:rsid w:val="000E310C"/>
    <w:rsid w:val="000F634D"/>
    <w:rsid w:val="00103F50"/>
    <w:rsid w:val="001112E1"/>
    <w:rsid w:val="0013108A"/>
    <w:rsid w:val="00146783"/>
    <w:rsid w:val="001558CA"/>
    <w:rsid w:val="00182925"/>
    <w:rsid w:val="00192995"/>
    <w:rsid w:val="001A37E9"/>
    <w:rsid w:val="001D3B13"/>
    <w:rsid w:val="001D428D"/>
    <w:rsid w:val="001D49C8"/>
    <w:rsid w:val="001F3EFA"/>
    <w:rsid w:val="00250213"/>
    <w:rsid w:val="0025214F"/>
    <w:rsid w:val="00260080"/>
    <w:rsid w:val="00262B69"/>
    <w:rsid w:val="002A287B"/>
    <w:rsid w:val="002C2AF9"/>
    <w:rsid w:val="002C6CA7"/>
    <w:rsid w:val="002D024A"/>
    <w:rsid w:val="002D0AEE"/>
    <w:rsid w:val="002E71E0"/>
    <w:rsid w:val="002F02B8"/>
    <w:rsid w:val="00303BE9"/>
    <w:rsid w:val="00327772"/>
    <w:rsid w:val="00341047"/>
    <w:rsid w:val="004040E1"/>
    <w:rsid w:val="004258A8"/>
    <w:rsid w:val="00433379"/>
    <w:rsid w:val="004357F0"/>
    <w:rsid w:val="004500C1"/>
    <w:rsid w:val="004771C0"/>
    <w:rsid w:val="00481CAF"/>
    <w:rsid w:val="00487F71"/>
    <w:rsid w:val="00496163"/>
    <w:rsid w:val="00496BCB"/>
    <w:rsid w:val="004974A9"/>
    <w:rsid w:val="004A3925"/>
    <w:rsid w:val="004D4484"/>
    <w:rsid w:val="005110C0"/>
    <w:rsid w:val="005643B7"/>
    <w:rsid w:val="005C0CA7"/>
    <w:rsid w:val="005D6474"/>
    <w:rsid w:val="005F705E"/>
    <w:rsid w:val="006054E1"/>
    <w:rsid w:val="006603EF"/>
    <w:rsid w:val="00687F92"/>
    <w:rsid w:val="00691AE4"/>
    <w:rsid w:val="006A530C"/>
    <w:rsid w:val="006A780A"/>
    <w:rsid w:val="00703D6C"/>
    <w:rsid w:val="007110D9"/>
    <w:rsid w:val="007174E7"/>
    <w:rsid w:val="007338EE"/>
    <w:rsid w:val="0075766D"/>
    <w:rsid w:val="00775A4C"/>
    <w:rsid w:val="00775FE4"/>
    <w:rsid w:val="00786E67"/>
    <w:rsid w:val="007A15EE"/>
    <w:rsid w:val="007A36DC"/>
    <w:rsid w:val="007E0659"/>
    <w:rsid w:val="007E6FCE"/>
    <w:rsid w:val="007F6261"/>
    <w:rsid w:val="008047EC"/>
    <w:rsid w:val="0081375C"/>
    <w:rsid w:val="00822F6E"/>
    <w:rsid w:val="008255C3"/>
    <w:rsid w:val="008319DA"/>
    <w:rsid w:val="00855B12"/>
    <w:rsid w:val="00856AF3"/>
    <w:rsid w:val="00856D45"/>
    <w:rsid w:val="008614F5"/>
    <w:rsid w:val="00867915"/>
    <w:rsid w:val="00884E74"/>
    <w:rsid w:val="00887219"/>
    <w:rsid w:val="008A1064"/>
    <w:rsid w:val="008B2264"/>
    <w:rsid w:val="008C35B6"/>
    <w:rsid w:val="008C5349"/>
    <w:rsid w:val="008E69EC"/>
    <w:rsid w:val="00904BAC"/>
    <w:rsid w:val="0091035E"/>
    <w:rsid w:val="0091167B"/>
    <w:rsid w:val="009174E0"/>
    <w:rsid w:val="00917624"/>
    <w:rsid w:val="00931723"/>
    <w:rsid w:val="0093470E"/>
    <w:rsid w:val="00937D35"/>
    <w:rsid w:val="0094011D"/>
    <w:rsid w:val="00952CD5"/>
    <w:rsid w:val="0096762B"/>
    <w:rsid w:val="00995247"/>
    <w:rsid w:val="009F0EED"/>
    <w:rsid w:val="00A01C25"/>
    <w:rsid w:val="00A01D98"/>
    <w:rsid w:val="00A07BE2"/>
    <w:rsid w:val="00A5260C"/>
    <w:rsid w:val="00A63E31"/>
    <w:rsid w:val="00A663F6"/>
    <w:rsid w:val="00A66D72"/>
    <w:rsid w:val="00A8022B"/>
    <w:rsid w:val="00A91B8B"/>
    <w:rsid w:val="00AE00A2"/>
    <w:rsid w:val="00AF4241"/>
    <w:rsid w:val="00B16DCC"/>
    <w:rsid w:val="00B2153F"/>
    <w:rsid w:val="00B53276"/>
    <w:rsid w:val="00B549DE"/>
    <w:rsid w:val="00B74642"/>
    <w:rsid w:val="00B809BC"/>
    <w:rsid w:val="00B86E9B"/>
    <w:rsid w:val="00BB4BD7"/>
    <w:rsid w:val="00BB7E5A"/>
    <w:rsid w:val="00C03768"/>
    <w:rsid w:val="00C16B36"/>
    <w:rsid w:val="00C32A09"/>
    <w:rsid w:val="00C35F56"/>
    <w:rsid w:val="00C3672E"/>
    <w:rsid w:val="00C428AB"/>
    <w:rsid w:val="00C8180E"/>
    <w:rsid w:val="00C91C35"/>
    <w:rsid w:val="00D426DC"/>
    <w:rsid w:val="00D54EAE"/>
    <w:rsid w:val="00D96F0A"/>
    <w:rsid w:val="00DA667B"/>
    <w:rsid w:val="00DB703A"/>
    <w:rsid w:val="00DC312E"/>
    <w:rsid w:val="00DD376E"/>
    <w:rsid w:val="00DD3AD9"/>
    <w:rsid w:val="00DD50BD"/>
    <w:rsid w:val="00DE7B18"/>
    <w:rsid w:val="00DF3895"/>
    <w:rsid w:val="00E03AF9"/>
    <w:rsid w:val="00E36C6A"/>
    <w:rsid w:val="00E50151"/>
    <w:rsid w:val="00E912D2"/>
    <w:rsid w:val="00EA2EF5"/>
    <w:rsid w:val="00EA5131"/>
    <w:rsid w:val="00ED0207"/>
    <w:rsid w:val="00ED693D"/>
    <w:rsid w:val="00EE65CA"/>
    <w:rsid w:val="00EF06B8"/>
    <w:rsid w:val="00F014D4"/>
    <w:rsid w:val="00F536E6"/>
    <w:rsid w:val="00FB312E"/>
    <w:rsid w:val="00FD284F"/>
    <w:rsid w:val="00FF77C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4E0"/>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9174E0"/>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9174E0"/>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562</Words>
  <Characters>3205</Characters>
  <Application>Microsoft Macintosh Word</Application>
  <DocSecurity>0</DocSecurity>
  <Lines>26</Lines>
  <Paragraphs>6</Paragraphs>
  <ScaleCrop>false</ScaleCrop>
  <Company>SVVSD</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5</cp:revision>
  <cp:lastPrinted>2011-01-06T16:42:00Z</cp:lastPrinted>
  <dcterms:created xsi:type="dcterms:W3CDTF">2011-05-12T23:49:00Z</dcterms:created>
  <dcterms:modified xsi:type="dcterms:W3CDTF">2011-06-03T02:41:00Z</dcterms:modified>
</cp:coreProperties>
</file>